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AZRG — Datenübermittlung an die Europäische Kommission nach Artikel 27 der Richtlinie 2001/55/EG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29.05.2024 (konsolidierte Textfassung, kein amtliches Inkrafttretensdatum)</w:t>
      </w:r>
    </w:p>
    <w:p>
      <w:r>
        <w:t xml:space="preserve">An die Europäische Kommission werden die Daten, die dem Umfang nach den Daten nach § 91a des Aufenthaltsgesetzes entsprechen, zur Aufgabenerfüllung nach Artikel 27 der Richtline 2001/55/EG übermittelt. § 26 Satz 4 ist nicht anzuwenden.</w:t>
      </w:r>
    </w:p>
    <w:p>
      <w:r>
        <w:rPr>
          <w:color w:val="555555"/>
          <w:sz w:val="17"/>
        </w:rPr>
        <w:t xml:space="preserve">Zitiervorschlag: § 26a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