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AZRG — Planungsdaten</w:t>
      </w:r>
    </w:p>
    <w:p>
      <w:r>
        <w:rPr>
          <w:color w:val="555555"/>
          <w:sz w:val="18"/>
        </w:rPr>
        <w:t xml:space="preserve">AZR-Gesetz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Registerbehörde kann, soweit die mit der Durchführung ausländer- oder asylrechtlicher Vorschriften betrauten öffentlichen Stellen oder die obersten Behörden des Bundes und der Länder zur Erfüllung ihrer Aufgaben Planungsdaten benötigen, auf Ersuchen über die in § 23 Abs. 2 Satz 1 bezeichneten Daten hinaus die nach § 3 Absatz 1 Nummer 7 in Verbindung mit § 2 Absatz 2 Nummer 4 bis 10 sowie § 3 Absatz 4 Nummer 7 in Verbindung mit § 2 Absatz 3 Nummer 5 bis 7 gespeicherten Daten übermitteln. Das Ersuchen ist schriftlich zu begründen.</w:t>
      </w:r>
    </w:p>
    <w:p>
      <w:r>
        <w:t xml:space="preserve">(2) Die Daten dürfen nur für Planungszwecke genutzt werden.</w:t>
      </w:r>
    </w:p>
    <w:p>
      <w:r>
        <w:rPr>
          <w:color w:val="555555"/>
          <w:sz w:val="17"/>
        </w:rPr>
        <w:t xml:space="preserve">Zitiervorschlag: § 24 AZRG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