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21a AZRG — Datenübermittlung an das Bundesverwaltungsamt im Rahmen des Registrier- und Asylverfahrens</w:t>
      </w:r>
    </w:p>
    <w:p>
      <w:r>
        <w:rPr>
          <w:color w:val="555555"/>
          <w:sz w:val="18"/>
        </w:rPr>
        <w:t xml:space="preserve">AZR-Gesetz</w:t>
      </w:r>
    </w:p>
    <w:p>
      <w:r>
        <w:rPr>
          <w:color w:val="555555"/>
          <w:sz w:val="18"/>
        </w:rPr>
        <w:t xml:space="preserve">Stand: 29.05.2024 (konsolidierte Textfassung, kein amtliches Inkrafttretensdatum)</w:t>
      </w:r>
    </w:p>
    <w:p>
      <w:r>
        <w:t xml:space="preserve">Nach der Erhebung von Daten nach § 16 Absatz 1 Satz 1 des Asylgesetzes und § 49 des Aufenthaltsgesetzes und nach der Übermittlung von Daten gemäß Artikel 21 der Verordnung (EU) Nr. 604/2013 werden anlässlich von Speicherungen nach § 2 Absatz 1a, 2 Nummer 1 und 2 sowie Absatz 2a die zur Durchführung von Beteiligungen und Abgleichen nach § 73 Absatz 1a des Aufenthaltsgesetzes erforderlichen Daten unverzüglich an die beteiligte Organisationseinheit im Bundesverwaltungsamt weitergegeben. Für die Weitergabe gelten die Übermittlungsregelungen dieses Gesetzes entsprechend.</w:t>
      </w:r>
    </w:p>
    <w:p>
      <w:r>
        <w:rPr>
          <w:color w:val="555555"/>
          <w:sz w:val="17"/>
        </w:rPr>
        <w:t xml:space="preserve">Zitiervorschlag: § 21a AZRG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https://recht.nulegal.eu/gesetze/AZRG/21a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