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AZRG — Datenübermittlung an die Verfassungsschutzbehörden, den Militärischen Abschirmdienst und den Bundesnachrichtendienst</w:t>
      </w:r>
    </w:p>
    <w:p>
      <w:r>
        <w:rPr>
          <w:color w:val="555555"/>
          <w:sz w:val="18"/>
        </w:rPr>
        <w:t xml:space="preserve">AZR-Gesetz</w:t>
      </w:r>
    </w:p>
    <w:p>
      <w:r>
        <w:rPr>
          <w:color w:val="555555"/>
          <w:sz w:val="18"/>
        </w:rPr>
        <w:t xml:space="preserve">Stand: 02.12.2019 (konsolidierte Textfassung, kein amtliches Inkrafttretensdatum)</w:t>
      </w:r>
    </w:p>
    <w:p>
      <w:r>
        <w:t xml:space="preserve">(1) An die Verfassungsschutzbehörden des Bundes und der Länder, den Militärischen Abschirmdienst und den Bundesnachrichtendienst werden zu Ausländern, die keine freizügigkeitsberechtigten Unionsbürger sind, auf Ersuchen die Daten übermittelt, die zur Erfüllung der ihnen durch Gesetz übertragenen Aufgaben erforderlich sind, sofern sie nicht aus allgemein zugänglichen Quellen, nur mit übermäßigem Aufwand oder nur durch eine die betroffene Person stärker belastende Maßnahme erhoben werden können. Die Regelungen über die Einsichtnahme in amtliche Register und über die Aufzeichnungspflicht für die in Satz 1 bezeichneten Stellen bleiben unberührt.</w:t>
      </w:r>
    </w:p>
    <w:p>
      <w:r>
        <w:t xml:space="preserve">(2) Die ersuchende Stelle hat Aufzeichnungen über das Ersuchen, den Zweck des Ersuchens und das Vorliegen der in Absatz 1 Satz 1 bezeichneten Voraussetzungen zu fertigen. Die Aufzeichnungen sind für die datenschutzrechtliche Kontrolle bestimmt. Sie sind gesondert aufzubewahren und durch geeignete Maßnahmen gegen unberechtigten Zugriff zu sichern. Sie sind am Ende des Kalenderjahres, das dem Jahr ihrer Erstellung folgt, zu vernichten, sofern sie nicht für ein bereits eingeleitetes Kontrollverfahren benötigt werden.</w:t>
      </w:r>
    </w:p>
    <w:p>
      <w:r>
        <w:rPr>
          <w:color w:val="555555"/>
          <w:sz w:val="17"/>
        </w:rPr>
        <w:t xml:space="preserve">Zitiervorschlag: § 20 AZRG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