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18e AZRG — Datenübermittlung an die Meldebehörden</w:t>
      </w:r>
    </w:p>
    <w:p>
      <w:r>
        <w:rPr>
          <w:color w:val="555555"/>
          <w:sz w:val="18"/>
        </w:rPr>
        <w:t xml:space="preserve">AZR-Gesetz</w:t>
      </w:r>
    </w:p>
    <w:p>
      <w:r>
        <w:rPr>
          <w:color w:val="555555"/>
          <w:sz w:val="18"/>
        </w:rPr>
        <w:t xml:space="preserve">Stand: 06.08.2024 (konsolidierte Textfassung, kein amtliches Inkrafttretensdatum)</w:t>
      </w:r>
    </w:p>
    <w:p>
      <w:r>
        <w:t xml:space="preserve">An die zuständige Meldebehörde werden zur Erfüllung ihrer Aufgaben in den Fällen des § 2 Absatz 1a und 2 Nummer 1 und 2 zu Ausländern, die keine freizügigkeitsberechtigten Unionsbürger sind, unverzüglich nach der Unterbringung in einer Aufnahmeeinrichtung neben den Grundpersonalien die AZR-Nummer nur zum Zweck der eindeutigen Zuordnung, die gegenwärtige Anschrift im Bundesgebiet sowie Übermittlungssperren in einem automatisierten Verfahren übermittelt. Ebenso werden Änderungen dieser Daten übermittelt. Bei Änderung der gegenwärtigen Anschrift im Bundesgebiet ist auch die Anschrift vor Änderung zu übermitteln.</w:t>
      </w:r>
    </w:p>
    <w:p>
      <w:r>
        <w:t xml:space="preserve">(2) (weggefallen)</w:t>
      </w:r>
    </w:p>
    <w:p>
      <w:r>
        <w:rPr>
          <w:color w:val="555555"/>
          <w:sz w:val="17"/>
        </w:rPr>
        <w:t xml:space="preserve">Zitiervorschlag: § 18e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https://recht.nulegal.eu/gesetze/AZRG/18e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