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AZRG — Datenübermittlung an die Zentralstelle für Finanztransaktionsuntersuchungen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An die Zentralstelle für Finanztransaktionsuntersuchungen werden zur Erfüllung ihrer Aufgaben nach § 28 Absatz 1 Satz 3 Nummer 2 des Geldwäschegesetzes zu Ausländern, die keine freizügigkeitsberechtigten Unionsbürger sind, auf Ersuchen die Grunddaten und folgende Daten übermittelt:</w:t>
      </w:r>
    </w:p>
    <w:p>
      <w:pPr>
        <w:ind w:left="420"/>
      </w:pPr>
      <w:r>
        <w:t xml:space="preserve">1. abweichende Namensschreibweisen,</w:t>
      </w:r>
    </w:p>
    <w:p>
      <w:pPr>
        <w:ind w:left="420"/>
      </w:pPr>
      <w:r>
        <w:t xml:space="preserve">2. andere Namen,</w:t>
      </w:r>
    </w:p>
    <w:p>
      <w:pPr>
        <w:ind w:left="420"/>
      </w:pPr>
      <w:r>
        <w:t xml:space="preserve">3. Aliaspersonalien,</w:t>
      </w:r>
    </w:p>
    <w:p>
      <w:pPr>
        <w:ind w:left="420"/>
      </w:pPr>
      <w:r>
        <w:t xml:space="preserve">4. Angaben zu Ausweisdokumenten,</w:t>
      </w:r>
    </w:p>
    <w:p>
      <w:pPr>
        <w:ind w:left="420"/>
      </w:pPr>
      <w:r>
        <w:t xml:space="preserve">5. die ausländische Personenidentitätsnummer,</w:t>
      </w:r>
    </w:p>
    <w:p>
      <w:pPr>
        <w:ind w:left="420"/>
      </w:pPr>
      <w:r>
        <w:t xml:space="preserve">6. das Ausstellungsdatum und die Gültigkeitsdauer ihrer Bescheinigung über die Meldung als Asylsuchende gemäß § 63a des Asylgesetzes,</w:t>
      </w:r>
    </w:p>
    <w:p>
      <w:pPr>
        <w:ind w:left="420"/>
      </w:pPr>
      <w:r>
        <w:t xml:space="preserve">7. Daten nach § 3 Absatz 1 Nummer 7 in Verbindung mit § 2 Absatz 1a und 2 Nummer 1, 3, 7, 7a und 12.</w:t>
      </w:r>
    </w:p>
    <w:p>
      <w:r>
        <w:rPr>
          <w:color w:val="555555"/>
          <w:sz w:val="17"/>
        </w:rPr>
        <w:t xml:space="preserve">Zitiervorschlag: § 17a AZRG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