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AZRG — Datenübermittlung an Gerichte</w:t>
      </w:r>
    </w:p>
    <w:p>
      <w:r>
        <w:rPr>
          <w:color w:val="555555"/>
          <w:sz w:val="18"/>
        </w:rPr>
        <w:t xml:space="preserve">AZR-Gesetz</w:t>
      </w:r>
    </w:p>
    <w:p>
      <w:r>
        <w:rPr>
          <w:color w:val="555555"/>
          <w:sz w:val="18"/>
        </w:rPr>
        <w:t xml:space="preserve">Stand: 04.08.2026 (konsolidierte Textfassung, kein amtliches Inkrafttretensdatum)</w:t>
      </w:r>
    </w:p>
    <w:p>
      <w:r>
        <w:t xml:space="preserve">(1) An Gerichte werden zum Zwecke der Rechtspflege zu Ausländern, die keine freizügigkeitsberechtigten Unionsbürger sind, auf Ersuchen die Grunddaten und folgende Daten übermittelt:</w:t>
      </w:r>
    </w:p>
    <w:p>
      <w:pPr>
        <w:ind w:left="420"/>
      </w:pPr>
      <w:r>
        <w:t xml:space="preserve">1. abweichende Namensschreibweisen,</w:t>
      </w:r>
    </w:p>
    <w:p>
      <w:pPr>
        <w:ind w:left="420"/>
      </w:pPr>
      <w:r>
        <w:t xml:space="preserve">2. andere Namen,</w:t>
      </w:r>
    </w:p>
    <w:p>
      <w:pPr>
        <w:ind w:left="420"/>
      </w:pPr>
      <w:r>
        <w:t xml:space="preserve">3. Aliaspersonalien,</w:t>
      </w:r>
    </w:p>
    <w:p>
      <w:pPr>
        <w:ind w:left="420"/>
      </w:pPr>
      <w:r>
        <w:t xml:space="preserve">4. letzter Wohnort im Herkunftsland,</w:t>
      </w:r>
    </w:p>
    <w:p>
      <w:pPr>
        <w:ind w:left="420"/>
      </w:pPr>
      <w:r>
        <w:t xml:space="preserve">5. Angaben zu Ausweisdokumenten,</w:t>
      </w:r>
    </w:p>
    <w:p>
      <w:pPr>
        <w:ind w:left="420"/>
      </w:pPr>
      <w:r>
        <w:t xml:space="preserve">6. die gegenwärtige Anschrift im Bundesgebiet.</w:t>
      </w:r>
    </w:p>
    <w:p>
      <w:r>
        <w:t xml:space="preserve">(2) Reichen die nach Absatz 1 zu übermittelnden Daten zur Aufgabenerfüllung nicht aus, werden auf erweitertes Ersuchen folgende Daten übermittelt:</w:t>
      </w:r>
    </w:p>
    <w:p>
      <w:pPr>
        <w:ind w:left="420"/>
      </w:pPr>
      <w:r>
        <w:t xml:space="preserve">1. zum aufenthaltsrechtlichen Status und zu den für oder gegen den Ausländer ergriffenen aufenthaltsrechtlichen Maßnahmen,</w:t>
      </w:r>
    </w:p>
    <w:p>
      <w:pPr>
        <w:ind w:left="420"/>
      </w:pPr>
      <w:r>
        <w:t xml:space="preserve">2. zum Asylverfahren,</w:t>
      </w:r>
    </w:p>
    <w:p>
      <w:pPr>
        <w:ind w:left="420"/>
      </w:pPr>
      <w:r>
        <w:t xml:space="preserve">3. zur Ausschreibung zur Zurückweisung,</w:t>
      </w:r>
    </w:p>
    <w:p>
      <w:pPr>
        <w:ind w:left="420"/>
      </w:pPr>
      <w:r>
        <w:t xml:space="preserve">4. zu einem Tatverdacht im Sinne des § 2 Absatz 2 Nummer 7 und 7a.</w:t>
      </w:r>
    </w:p>
    <w:p>
      <w:r>
        <w:t xml:space="preserve">Die Erforderlichkeit der Übermittlung ist von der ersuchenden Stelle aktenkundig zu machen.</w:t>
      </w:r>
    </w:p>
    <w:p>
      <w:r>
        <w:t xml:space="preserve">(3) Werden über die in den Absätzen 1 und 2 bezeichneten Daten hinaus weitere Daten zur Aufgabenerfüllung benötigt, ist deren Übermittlung auf erneutes Ersuchen zulässig. Absatz 2 Satz 2 gilt entsprechend. Ein Abruf im automatisierten Verfahren ist unzulässig.</w:t>
      </w:r>
    </w:p>
    <w:p>
      <w:r>
        <w:rPr>
          <w:color w:val="555555"/>
          <w:sz w:val="17"/>
        </w:rPr>
        <w:t xml:space="preserve">Zitiervorschlag: § 16 AZRG</w:t>
      </w:r>
    </w:p>
    <w:p>
      <w:r>
        <w:rPr>
          <w:color w:val="555555"/>
          <w:sz w:val="17"/>
        </w:rPr>
        <w:t xml:space="preserve">Quelle: Bundesamt für Justiz, abgerufen 04.08.2026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https://recht.nulegal.eu/gesetze/AZRG/16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