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AZRG-DV — Dokumente</w:t>
      </w:r>
    </w:p>
    <w:p>
      <w:r>
        <w:rPr>
          <w:color w:val="555555"/>
          <w:sz w:val="18"/>
        </w:rPr>
        <w:t xml:space="preserve">AZRG-Durchführungsverordnung</w:t>
      </w:r>
    </w:p>
    <w:p>
      <w:r>
        <w:rPr>
          <w:color w:val="555555"/>
          <w:sz w:val="18"/>
        </w:rPr>
        <w:t xml:space="preserve">Stand: 01.11.2022 (konsolidierte Textfassung, kein amtliches Inkrafttretensdatum)</w:t>
      </w:r>
    </w:p>
    <w:p>
      <w:r>
        <w:t xml:space="preserve">Aus Abschnitt III der Anlage zu dieser Verordnung ergeben sich</w:t>
      </w:r>
    </w:p>
    <w:p>
      <w:pPr>
        <w:ind w:left="420"/>
      </w:pPr>
      <w:r>
        <w:t xml:space="preserve">1. die Daten, bei deren Übermittlung auch Dokumente nach § 6 Absatz 5 des AZR-Gesetzes zu übermitteln sind,</w:t>
      </w:r>
    </w:p>
    <w:p>
      <w:pPr>
        <w:ind w:left="420"/>
      </w:pPr>
      <w:r>
        <w:t xml:space="preserve">2. die übermittelnden Stellen und</w:t>
      </w:r>
    </w:p>
    <w:p>
      <w:pPr>
        <w:ind w:left="420"/>
      </w:pPr>
      <w:r>
        <w:t xml:space="preserve">3. die Stellen, an die eine Übermittlung der Dokumente nach § 10 Absatz 1a und 6 des AZR-Gesetzes zu übermitteln sind.</w:t>
      </w:r>
    </w:p>
    <w:p>
      <w:r>
        <w:t xml:space="preserve">Die Dokumente sind unverzüglich zu übermitteln.</w:t>
      </w:r>
    </w:p>
    <w:p>
      <w:r>
        <w:rPr>
          <w:color w:val="555555"/>
          <w:sz w:val="17"/>
        </w:rPr>
        <w:t xml:space="preserve">Zitiervorschlag: § 6 AZRG-DV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https://recht.nulegal.eu/gesetze/AZRG-DV/6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