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AZRG-DV — Übergangsregelung aus Anlass der Anwendbarkeit der Verordnung (EU) 2024/1347</w:t>
      </w:r>
    </w:p>
    <w:p>
      <w:r>
        <w:rPr>
          <w:color w:val="555555"/>
          <w:sz w:val="18"/>
        </w:rPr>
        <w:t xml:space="preserve">AZRG-Durchführungsverordnung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Angaben zu Asylverfahren, die vor der Anwendbarkeit der Verordnung (EU) 2024/1347 zum 12. Juni 2026 gemäß § 3 Absatz 4 und § 4 Absatz 1 des Asylgesetzes in der bis zum 11. Juni 2026 geltenden Fassung eingeleitet wurden, werden so lange nach Nummer 8 (Teil I) und 8 (Teil II) der Anlage in der Fassung bis zum 11. Juni 2026 erfasst, bis sämtliche Asylverfahren gemäß § 3 Absatz 4 und § 4 Absatz 1 des Asylgesetzes in der bis zum 11. Juni 2026 geltenden Fassung unanfechtbar abgeschlossen wurden.</w:t>
      </w:r>
    </w:p>
    <w:p>
      <w:r>
        <w:rPr>
          <w:color w:val="555555"/>
          <w:sz w:val="17"/>
        </w:rPr>
        <w:t xml:space="preserve">Zitiervorschlag: § 22 AZRG-DV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https://recht.nulegal.eu/gesetze/AZRG-DV/22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