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AZRG-DV — Übergangsregelung aus Anlass des Inkrafttretens des Gesetzes zur Umsetzung aufenthaltsrechtlicher Richtlinien der Europäischen Union und zur Anpassung nationaler Rechtsvorschriften an den EU-Visakodex</w:t>
      </w:r>
    </w:p>
    <w:p>
      <w:r>
        <w:rPr>
          <w:color w:val="555555"/>
          <w:sz w:val="18"/>
        </w:rPr>
        <w:t xml:space="preserve">AZRG-Durchführungsverordnung</w:t>
      </w:r>
    </w:p>
    <w:p>
      <w:r>
        <w:rPr>
          <w:color w:val="555555"/>
          <w:sz w:val="18"/>
        </w:rPr>
        <w:t xml:space="preserve">Stand: 10.06.2019 (konsolidierte Textfassung, kein amtliches Inkrafttretensdatum)</w:t>
      </w:r>
    </w:p>
    <w:p>
      <w:r>
        <w:t xml:space="preserve">Angaben zu den mit dem Gesetz zur Umsetzung aufenthaltsrechtlicher Richtlinien der Europäischen Union und zur Anpassung nationaler Rechtsvorschriften an den EU-Visakodex neu geschaffenen Speichersachverhalten werden übermittelt, sobald hierfür die informationstechnischen Voraussetzungen geschaffen worden sind, spätestens jedoch sechs Monate nach Inkrafttreten dieses Gesetzes. Soweit bis dahin diese Daten nicht übermittelt worden sind, ist die zuständige Stelle verpflichtet, ihre Übermittlung unverzüglich nachzuholen.</w:t>
      </w:r>
    </w:p>
    <w:p>
      <w:r>
        <w:rPr>
          <w:color w:val="555555"/>
          <w:sz w:val="17"/>
        </w:rPr>
        <w:t xml:space="preserve">Zitiervorschlag: § 21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