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AZRG-DV — Auswirkungen eines späteren Wechsels des Personenkreises auf den Datensatz zu einer Person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Daten zu einem Unionsbürger, die vor dem Erwerb der Unionsbürgerschaft gespeichert wurden, dürfen weiter gespeichert bleiben, sofern es sich um Daten nach § 3 Absatz 4 in Verbindung mit § 2 Absatz 3 des AZR-Gesetzes handelt. Daten zu einem Drittstaatsangehörigen, die vor dem Erwerb der Staatsangehörigkeit des Drittstaats gespeichert wurden, dürfen weiter gespeichert bleiben, sofern es sich um Daten nach § 3 Absatz 1 in Verbindung mit § 2 Absatz 1 oder 2 des AZR-Gesetzes handelt. § 18 bleibt unberührt.</w:t>
      </w:r>
    </w:p>
    <w:p>
      <w:r>
        <w:t xml:space="preserve">(2) Daten, die nach Absatz 1 weiterhin zulässig gespeichert sind, übermittelt die Registerbehörde entsprechend den Vorschriften über ihrer Art nach vergleichbare Daten.</w:t>
      </w:r>
    </w:p>
    <w:p>
      <w:r>
        <w:rPr>
          <w:color w:val="555555"/>
          <w:sz w:val="17"/>
        </w:rPr>
        <w:t xml:space="preserve">Zitiervorschlag: § 19b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https://recht.nulegal.eu/gesetze/AZRG-DV/19b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