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AZRG-DV — Auswirkungen späterer Rechtsänderungen auf den Registerbestand</w:t>
      </w:r>
    </w:p>
    <w:p>
      <w:r>
        <w:rPr>
          <w:color w:val="555555"/>
          <w:sz w:val="18"/>
        </w:rPr>
        <w:t xml:space="preserve">AZRG-Durchführungsverordnung</w:t>
      </w:r>
    </w:p>
    <w:p>
      <w:r>
        <w:rPr>
          <w:color w:val="555555"/>
          <w:sz w:val="18"/>
        </w:rPr>
        <w:t xml:space="preserve">Stand: 10.06.2019 (konsolidierte Textfassung, kein amtliches Inkrafttretensdatum)</w:t>
      </w:r>
    </w:p>
    <w:p>
      <w:r>
        <w:t xml:space="preserve">(1) Bis zum Inkrafttreten einer Rechtsänderung gespeicherte Angaben zum aufenthaltsrechtlichen Status im Sinne des § 2 Absatz 2 Nummer 3 in Verbindung mit § 3 Absatz 1 Nummer 6 oder § 2 Absatz 3 Nummer 3 und 4 in Verbindung mit § 3 Absatz 4 Nummer 6 des AZR-Gesetzes bleiben auch dann gespeichert, wenn sie nach Inkrafttreten der Rechtsänderung nicht mehr oder nicht mehr unter derselben Bezeichnung vorgesehen sind, es sei denn, das ändernde Gesetz oder die ändernde Verordnung trifft eine abweichende Regelung. § 18 bleibt unberührt.</w:t>
      </w:r>
    </w:p>
    <w:p>
      <w:r>
        <w:t xml:space="preserve">(2) Daten nach Absatz 1, die aufgrund der jeweils bis zur Rechtsänderung geltenden Fassung der Verordnung gespeichert wurden, deren Speicherung aber in der neuen Fassung nicht mehr vorgesehen ist, übermittelt die Registerbehörde entsprechend den Vorschriften über ihrer Art nach vergleichbare Daten.</w:t>
      </w:r>
    </w:p>
    <w:p>
      <w:r>
        <w:rPr>
          <w:color w:val="555555"/>
          <w:sz w:val="17"/>
        </w:rPr>
        <w:t xml:space="preserve">Zitiervorschlag: § 19a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