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AZRG-DV — Einschränkung der Verarbeitung</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(1) Das Bestreiten der Richtigkeit gespeicherter Daten hat schriftlich gegenüber der Registerbehörde zu erfolgen. Die betroffene Person soll bei der Ermittlung des Sachverhalts mitwirken. Insbesondere soll sie ihr bekannte Tatsachen und Beweismittel angeben.</w:t>
      </w:r>
    </w:p>
    <w:p>
      <w:r>
        <w:t xml:space="preserve">(2) Läßt sich weder die Richtigkeit noch die Unrichtigkeit der bestrittenen Daten zur Überzeugung der Registerbehörde feststellen, wird der Datensatz der betroffenen Person mit Ausnahme der Grundpersonalien und der weiteren Personalien in der Verarbeitung eingeschränkt. Die Angaben der betroffenen Person zu ihren Grundpersonalien und ihren weiteren Personalien gelten als richtig, soweit sich nicht nachweisen läßt, daß die davon abweichenden gespeicherten Daten richtig sind. Geht ein Übermittlungsersuchen über die Grundpersonalien und die weiteren Personalien hinaus, wird der ersuchenden Stelle außer in den Fällen des § 37 Abs. 2 Satz 3 des AZR-Gesetzes nur der Hinweis auf die Einschränkung der Verarbeitung übermittelt.</w:t>
      </w:r>
    </w:p>
    <w:p>
      <w:r>
        <w:rPr>
          <w:color w:val="555555"/>
          <w:sz w:val="17"/>
        </w:rPr>
        <w:t xml:space="preserve">Zitiervorschlag: § 17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