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AZRG-DV — Aufzeichnungen bei Datenübermittlungen</w:t>
      </w:r>
    </w:p>
    <w:p>
      <w:r>
        <w:rPr>
          <w:color w:val="555555"/>
          <w:sz w:val="18"/>
        </w:rPr>
        <w:t xml:space="preserve">AZRG-Durchführungsverordnung</w:t>
      </w:r>
    </w:p>
    <w:p>
      <w:r>
        <w:rPr>
          <w:color w:val="555555"/>
          <w:sz w:val="18"/>
        </w:rPr>
        <w:t xml:space="preserve">Stand: 22.09.2019 (konsolidierte Textfassung, kein amtliches Inkrafttretensdatum)</w:t>
      </w:r>
    </w:p>
    <w:p>
      <w:r>
        <w:t xml:space="preserve">(1) Die Registerbehörde hat sicherzustellen, daß die Aufzeichnungen nach den §§ 9, 13 und 31 Abs. 3 des AZR-Gesetzes bei der Eingabe und beim Abruf von Daten, die von ihr selbst oder von anderen Stellen vorgenommen werden, durch ein selbsttätiges Verfahren erfolgen. Sie hat sich unabhängig von Prüfungen durch die Bundesbeauftragte oder den Bundesbeauftragten für den Datenschutz und die Informationsfreiheit durch regelmäßige Kontrollen von der ordnungsgemäßen Funktion dieses Verfahrens zu überzeugen.</w:t>
      </w:r>
    </w:p>
    <w:p>
      <w:r>
        <w:t xml:space="preserve">(2) Aufzeichnungen nach Absatz 1 sind sechs Monate nach ihrer Entstehung zu löschen, wenn sie nicht für ein bereits eingeleitetes Kontrollverfahren benötigt werden. Aufzeichnungen nach § 4 Abs. 4 des AZR-Gesetzes sind unverzüglich nach Löschung der Übermittlungssperre, Aufzeichnungen nach § 27 Abs. 2 des AZR-Gesetzes ein Jahr nach ihrer Entstehung zu löschen.</w:t>
      </w:r>
    </w:p>
    <w:p>
      <w:r>
        <w:t xml:space="preserve">(3) Mitteilungen nach § 11 Abs. 1 Satz 3 und Abs. 2 Satz 3 des AZR-Gesetzes sind sechs Monate nach Eingang bei der Registerbehörde zu vernichten, wenn sie nicht für ein bereits eingeleitetes Kontrollverfahren benötigt werden.</w:t>
      </w:r>
    </w:p>
    <w:p>
      <w:r>
        <w:rPr>
          <w:color w:val="555555"/>
          <w:sz w:val="17"/>
        </w:rPr>
        <w:t xml:space="preserve">Zitiervorschlag: § 16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