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AZKoV (Bayern) — Maßgebliche Vorschriften für Lehrkräfte an beruflichen Schulen und beruflichen Schulen zur sonderpädagogischen Förderung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4 bis 6 gelten für Lehrkräfte an beruflichen Schulen und beruflichen Schulen zur sonderpädagogischen Förderung mit folgenden Maßgaben entsprechend:</w:t>
      </w:r>
    </w:p>
    <w:p>
      <w:r>
        <w:t xml:space="preserve">1. Die Ansparphase ist abweichend von § 4 Abs. 1 abzuleisten:</w:t>
      </w:r>
    </w:p>
    <w:p>
      <w:r>
        <w:t xml:space="preserve">a) in den Schuljahren 2005/2006 bis einschließlich 2009/2010, wenn sie das 43. Lebensjahr zu Schuljahresbeginn 2005/2006 (1. August 2005) vollendet haben,</w:t>
      </w:r>
    </w:p>
    <w:p>
      <w:r>
        <w:t xml:space="preserve">b) im Übrigen in den Schuljahren 2006/2007 bis einschließlich 2010/2011.</w:t>
      </w:r>
    </w:p>
    <w:p>
      <w:r>
        <w:t xml:space="preserve">2. Die Ausgleichsphase beginnt abweichend von § 6</w:t>
      </w:r>
    </w:p>
    <w:p>
      <w:r>
        <w:t xml:space="preserve">a) ab dem Schuljahr 2013/2014 für die in Nr. 1 Buchst. a genannten Lehrkräfte,</w:t>
      </w:r>
    </w:p>
    <w:p>
      <w:r>
        <w:t xml:space="preserve">b) ab dem Schuljahr 2014/2015 für die in Nr. 1 Buchst. b genannten Lehrkräfte.</w:t>
      </w:r>
    </w:p>
    <w:p>
      <w:r>
        <w:rPr>
          <w:color w:val="555555"/>
          <w:sz w:val="17"/>
        </w:rPr>
        <w:t xml:space="preserve">Zitiervorschlag: § 11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