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AZKoV (Bayern) — Regelungszweck</w:t>
      </w:r>
    </w:p>
    <w:p>
      <w:r>
        <w:rPr>
          <w:color w:val="555555"/>
          <w:sz w:val="18"/>
        </w:rPr>
        <w:t xml:space="preserve">Verordnung zur Einführung eines verpflichtenden Arbeitszeitkontos für Lehrkräfte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regelt die zur Bewältigung eines länger andauernden, aber vorübergehenden Personalbedarfs im Schulbereich erforderliche ungleichmäßige Verteilung der regelmäßigen Arbeitszeit (verpflichtendes Arbeitszeitkonto) für beamtete Lehrkräfte im Dienst des Freistaates Bayern.</w:t>
      </w:r>
    </w:p>
    <w:p>
      <w:r>
        <w:rPr>
          <w:color w:val="555555"/>
          <w:sz w:val="17"/>
        </w:rPr>
        <w:t xml:space="preserve">Zitiervorschlag: § 1 AZKoV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https://recht.nulegal.eu/gesetze/AZKoV/1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