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AZG</w:t>
      </w:r>
    </w:p>
    <w:p>
      <w:r>
        <w:rPr>
          <w:color w:val="555555"/>
          <w:sz w:val="18"/>
        </w:rPr>
        <w:t xml:space="preserve">Anteilzollgesetz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 wird ermächtigt, durch Rechtsverordnung die Bestimmungen dieses Gesetzes für sinngemäß anwendbar zu erklären auf Waren der in den §§ 1, 5 und 6 genannten Art, für die in den assoziierten überseeischen Ländern und Hoheitsgebieten die Vergünstigungen nach Artikel 132 Nr. 2 und Artikel 133 Abs. 2 und 3 des EWG-Vertrages in Anspruch genommen werden sollen, sofern die zuständigen Organe der Europäischen Wirtschaftsgemeinschaft einen entsprechenden Beschluß gefaßt haben.</w:t>
      </w:r>
    </w:p>
    <w:p>
      <w:r>
        <w:rPr>
          <w:color w:val="555555"/>
          <w:sz w:val="17"/>
        </w:rPr>
        <w:t xml:space="preserve">Zitiervorschlag: § 7 AZG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