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AZG</w:t>
      </w:r>
    </w:p>
    <w:p>
      <w:r>
        <w:rPr>
          <w:color w:val="555555"/>
          <w:sz w:val="18"/>
        </w:rPr>
        <w:t xml:space="preserve">Anteilzollgesetz</w:t>
      </w:r>
    </w:p>
    <w:p>
      <w:r>
        <w:rPr>
          <w:color w:val="555555"/>
          <w:sz w:val="18"/>
        </w:rPr>
        <w:t xml:space="preserve">Stand: 10.06.2019 (konsolidierte Textfassung, kein amtliches Inkrafttretensdatum)</w:t>
      </w:r>
    </w:p>
    <w:p>
      <w:r>
        <w:t xml:space="preserve">(1) Zollvergütungen, die für Freigut bei der Ausfuhr oder Abfertigung zu einem Zollverkehr gewährt werden, sind für solche Waren zu kürzen, die von der Zollstelle auf Antrag als vergünstigungsfähig (§ 1) gekennzeichnet und zu deren Herstellung Ausgangsstoffe verwendet worden sind, die Drittlandszollgut waren (§ 1).</w:t>
      </w:r>
    </w:p>
    <w:p>
      <w:r>
        <w:t xml:space="preserve">(2) Der Kürzungsbetrag ist nach § 2 Abs. 2 zu bemessen. Der Bundesminister der Finanzen kann durch Rechtsverordnung für die Bemessung des Kürzungsbetrages Durchschnittssätze festsetzen.</w:t>
      </w:r>
    </w:p>
    <w:p>
      <w:r>
        <w:rPr>
          <w:color w:val="555555"/>
          <w:sz w:val="17"/>
        </w:rPr>
        <w:t xml:space="preserve">Zitiervorschlag: § 6 AZG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