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AZG</w:t>
      </w:r>
    </w:p>
    <w:p>
      <w:r>
        <w:rPr>
          <w:color w:val="555555"/>
          <w:sz w:val="18"/>
        </w:rPr>
        <w:t xml:space="preserve">Anteilzollgesetz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Anteilzoll kann auf Antrag des Veredelers erlassen, erstattet oder angerechnet werden, wenn das nach § 2 Abs. 1 abgefertigte und gekennzeichnete Zollgut oder Ersatzgut bei der zuständigen Zollstelle vorgeführt wird und diese die Kennzeichnung beseitigt.</w:t>
      </w:r>
    </w:p>
    <w:p>
      <w:r>
        <w:rPr>
          <w:color w:val="555555"/>
          <w:sz w:val="17"/>
        </w:rPr>
        <w:t xml:space="preserve">Zitiervorschlag: § 4 AZG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