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AZG</w:t>
      </w:r>
    </w:p>
    <w:p>
      <w:r>
        <w:rPr>
          <w:color w:val="555555"/>
          <w:sz w:val="18"/>
        </w:rPr>
        <w:t xml:space="preserve">Anteilzollgesetz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Anteilzoll ist jeweils im Zusammenhang mit den Abrechnungen des Veredelungsverkehrs bei der hierfür zuständigen Zollstelle zu entrichten.</w:t>
      </w:r>
    </w:p>
    <w:p>
      <w:r>
        <w:t xml:space="preserve">(2) Zahlungsaufschub wird nicht gewährt.</w:t>
      </w:r>
    </w:p>
    <w:p>
      <w:r>
        <w:rPr>
          <w:color w:val="555555"/>
          <w:sz w:val="17"/>
        </w:rPr>
        <w:t xml:space="preserve">Zitiervorschlag: § 3 AZG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https://recht.nulegal.eu/gesetze/AZG/3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