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AZAV</w:t>
      </w:r>
    </w:p>
    <w:p>
      <w:r>
        <w:rPr>
          <w:color w:val="555555"/>
          <w:sz w:val="18"/>
        </w:rPr>
        <w:t xml:space="preserve">Akkreditierungs- und Zulassungsverordnung Arbeitsförderung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184 des Dritten Buches Sozialgesetzbuch – Arbeitsförderung –, der durch Artikel 2 Nummer 18 des Gesetzes vom 20. Dezember 2011 (BGBl. I S. 2854)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AZAV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