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AZAV — Inkrafttreten, Außerkrafttreten</w:t>
      </w:r>
    </w:p>
    <w:p>
      <w:r>
        <w:rPr>
          <w:color w:val="555555"/>
          <w:sz w:val="18"/>
        </w:rPr>
        <w:t xml:space="preserve">Akkreditierungs- und Zulassungsverordnung Arbeitsförderung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Anerkennungs- und Zulassungsverordnung – Weiterbildung vom 16. Juni 2004 (BGBl. I S. 1100), die durch Artikel 453 der Verordnung vom 31. Oktober 2006 (BGBl. I S. 2407) geändert worden ist, außer Kraft.</w:t>
      </w:r>
    </w:p>
    <w:p>
      <w:r>
        <w:rPr>
          <w:color w:val="555555"/>
          <w:sz w:val="17"/>
        </w:rPr>
        <w:t xml:space="preserve">Zitiervorschlag: § 8 AZAV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