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AZAV — Sonderregelung</w:t>
      </w:r>
    </w:p>
    <w:p>
      <w:r>
        <w:rPr>
          <w:color w:val="555555"/>
          <w:sz w:val="18"/>
        </w:rPr>
        <w:t xml:space="preserve">Akkreditierungs- und Zulassungsverordnung Arbeitsförderung</w:t>
      </w:r>
    </w:p>
    <w:p>
      <w:r>
        <w:rPr>
          <w:color w:val="555555"/>
          <w:sz w:val="18"/>
        </w:rPr>
        <w:t xml:space="preserve">Stand: 30.05.2020 (konsolidierte Textfassung, kein amtliches Inkrafttretensdatum)</w:t>
      </w:r>
    </w:p>
    <w:p>
      <w:r>
        <w:t xml:space="preserve">Für das Jahr 2020 werden die durchschnittlichen Kostensätze für Maßnahmen nach § 45 Absatz 4 Satz 3 Nummer 1 und nach den §§ 81 und 82 des Dritten Buches Sozialgesetzbuch auf der Basis der im Jahr 2019 von den fachkundigen Stellen vorgelegten Kostensätze ermittelt. Zum 1. Juli 2020 werden die durchschnittlichen Kostensätze für Maßnahmen der beruflichen Weiterbildung nach den §§ 81 und 82 um 20 Prozent angehoben.</w:t>
      </w:r>
    </w:p>
    <w:p>
      <w:r>
        <w:rPr>
          <w:color w:val="555555"/>
          <w:sz w:val="17"/>
        </w:rPr>
        <w:t xml:space="preserve">Zitiervorschlag: § 7 AZAV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