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AZAV — Zusammenarbeit</w:t>
      </w:r>
    </w:p>
    <w:p>
      <w:r>
        <w:rPr>
          <w:color w:val="555555"/>
          <w:sz w:val="18"/>
        </w:rPr>
        <w:t xml:space="preserve">Akkreditierungs- und Zulassungsverordnung Arbeitsförderung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Akkreditierungsstelle, die fachkundigen Stellen und die Bundesagentur für Arbeit arbeiten in allen Fragen der Zulassung von Trägern und Maßnahmen vertrauensvoll zusammen.</w:t>
      </w:r>
    </w:p>
    <w:p>
      <w:r>
        <w:t xml:space="preserve">(2) Die Bundesagentur für Arbeit kann den fachkundigen Stellen Umsetzungshinweise zur Verfügung stellen, die diese bei der Prüfung berücksichtigen. Sie hat dabei die Empfehlungen des Beirats nach § 182 des Dritten Buches Sozialgesetzbuch zu beachten.</w:t>
      </w:r>
    </w:p>
    <w:p>
      <w:r>
        <w:rPr>
          <w:color w:val="555555"/>
          <w:sz w:val="17"/>
        </w:rPr>
        <w:t xml:space="preserve">Zitiervorschlag: § 6 AZAV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https://recht.nulegal.eu/gesetze/AZAV/6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