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AZAV — Ergänzende Anforderungen an Maßnahmen der beruflichen Weiterbildung</w:t>
      </w:r>
    </w:p>
    <w:p>
      <w:r>
        <w:rPr>
          <w:color w:val="555555"/>
          <w:sz w:val="18"/>
        </w:rPr>
        <w:t xml:space="preserve">Akkreditierungs- und Zulassungsverordnung Arbeitsförderung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Soweit Maßnahmen der beruflichen Weiterbildung nach den §§ 81 und 82 des Dritten Buches Sozialgesetzbuch zugelassen werden sollen, die auf Berufsabschlüsse in anerkannten Ausbildungsberufen oder bundes- oder landesrechtlich geregelten Berufen vorbereiten, ist der fachkundigen Stelle eine Bestätigung der zuständigen Stelle oder der zuständigen Aufsichtsbehörde über die Eignung des Trägers als Ausbildungsstätte vorzulegen.</w:t>
      </w:r>
    </w:p>
    <w:p>
      <w:r>
        <w:rPr>
          <w:color w:val="555555"/>
          <w:sz w:val="17"/>
        </w:rPr>
        <w:t xml:space="preserve">Zitiervorschlag: § 4 AZAV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https://recht.nulegal.eu/gesetze/AZAV/4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