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AZAV — Akkreditierungsverfahren</w:t>
      </w:r>
    </w:p>
    <w:p>
      <w:r>
        <w:rPr>
          <w:color w:val="555555"/>
          <w:sz w:val="18"/>
        </w:rPr>
        <w:t xml:space="preserve">Akkreditierungs- und Zulassungsverordnung Arbeitsförderung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Prüfung nach § 177 Absatz 2 Satz 1 Nummer 2 des Dritten Buches Sozialgesetzbuch berücksichtigt die Akkreditierungsstelle insbesondere, ob die bei der Zertifizierungsstelle mit der Zulassung von Trägern und Maßnahmen beauftragten Personen umfassende Kenntnisse der Fachbereiche nach § 5 Absatz 1 Satz 3 sowie hinsichtlich Inhalt und Durchführung von Maßnahmen nach den §§ 45 sowie 81 und 82 des Dritten Buches Sozialgesetzbuch haben.</w:t>
      </w:r>
    </w:p>
    <w:p>
      <w:r>
        <w:rPr>
          <w:color w:val="555555"/>
          <w:sz w:val="17"/>
        </w:rPr>
        <w:t xml:space="preserve">Zitiervorschlag: § 1 AZAV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