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AWaffV</w:t>
      </w:r>
    </w:p>
    <w:p>
      <w:r>
        <w:rPr>
          <w:color w:val="555555"/>
          <w:sz w:val="18"/>
        </w:rPr>
        <w:t xml:space="preserve">Allgemeine Waffengesetz-Verordnung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Abs. 4, § 7 Abs. 2, § 15 Abs. 7 Satz 2, § 22 Abs. 2, § 25 Abs. 1, § 27 Abs. 7 Satz 2, § 34 Abs. 6, § 36 Abs. 5 und § 47 des Waffengesetzes vom 11. Oktober 2002 (BGBl. I S. 3970, 4592, 2003 I S. 1957), jeweils auch in Verbindung mit Artikel 17 des Gesetzes vom 11. Oktober 2002 (BGBl. I S. 3970, 4013), verordnet das Bundesministerium des Innern:</w:t>
      </w:r>
    </w:p>
    <w:p>
      <w:r>
        <w:rPr>
          <w:color w:val="555555"/>
          <w:sz w:val="17"/>
        </w:rPr>
        <w:t xml:space="preserve">Zitiervorschlag: Eingangsformel AWaffV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https://recht.nulegal.eu/gesetze/AWaffV/eingangsformel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