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AWaffV — Zulässige Schießübungen auf Schießstätten</w:t>
      </w:r>
    </w:p>
    <w:p>
      <w:r>
        <w:rPr>
          <w:color w:val="555555"/>
          <w:sz w:val="18"/>
        </w:rPr>
        <w:t xml:space="preserve">Allgemeine Waffengesetz-Verordnung</w:t>
      </w:r>
    </w:p>
    <w:p>
      <w:r>
        <w:rPr>
          <w:color w:val="555555"/>
          <w:sz w:val="18"/>
        </w:rPr>
        <w:t xml:space="preserve">Stand: 10.06.2019 (konsolidierte Textfassung, kein amtliches Inkrafttretensdatum)</w:t>
      </w:r>
    </w:p>
    <w:p>
      <w:r>
        <w:t xml:space="preserve">(1) Auf einer Schießstätte ist unter Beachtung des Verbots des kampfmäßigen Schießens (§ 27 Abs. 7 Satz 1 des Waffengesetzes) das Schießen mit Schusswaffen und Munition auf der Grundlage der für die Schießstätte erteilten Erlaubnis (§ 27 Abs. 1 Satz 1 des Waffengesetzes) nur zulässig, wenn</w:t>
      </w:r>
    </w:p>
    <w:p>
      <w:pPr>
        <w:ind w:left="420"/>
      </w:pPr>
      <w:r>
        <w:t xml:space="preserve">1. die Person, die zu schießen beabsichtigt, die Berechtigung zum Erwerb und Besitz von Schusswaffen nachweisen kann und das Schießen mit Schusswaffen dieser Art innerhalb des der Berechtigung zugrunde liegenden Bedürfnisses erfolgt,</w:t>
      </w:r>
    </w:p>
    <w:p>
      <w:pPr>
        <w:ind w:left="420"/>
      </w:pPr>
      <w:r>
        <w:t xml:space="preserve">2. geschossen wird</w:t>
      </w:r>
    </w:p>
    <w:p>
      <w:pPr>
        <w:ind w:left="780"/>
      </w:pPr>
      <w:r>
        <w:t xml:space="preserve">a) auf der Grundlage einer genehmigten Schießsportordnung,</w:t>
      </w:r>
    </w:p>
    <w:p>
      <w:pPr>
        <w:ind w:left="780"/>
      </w:pPr>
      <w:r>
        <w:t xml:space="preserve">b) im Rahmen von Lehrgängen oder Schießübungen in der Verteidigung mit Schusswaffen (§ 22),</w:t>
      </w:r>
    </w:p>
    <w:p>
      <w:pPr>
        <w:ind w:left="780"/>
      </w:pPr>
      <w:r>
        <w:t xml:space="preserve">c) zur Erlangung der Sachkunde (§ 1 Abs. 1 Nr. 3) oder</w:t>
      </w:r>
    </w:p>
    <w:p>
      <w:pPr>
        <w:ind w:left="780"/>
      </w:pPr>
      <w:r>
        <w:t xml:space="preserve">d) in der jagdlichen Ausbildung, oder</w:t>
      </w:r>
    </w:p>
    <w:p>
      <w:pPr>
        <w:ind w:left="420"/>
      </w:pPr>
      <w:r>
        <w:t xml:space="preserve">3. es sich nicht um Schusswaffen und Munition nach § 6 Abs. 1 handelt.</w:t>
      </w:r>
    </w:p>
    <w:p>
      <w:r>
        <w:t xml:space="preserve">In den Fällen des Satzes 1 Nr. 1, Nr. 2 Buchstabe c und Nr. 3 gilt § 7 Abs. 1 und 3 entsprechend; beim Schießen nach Satz 1 Nr. 2 Buchstabe a bleibt § 7 unberührt. Der Betreiber der Schießstätte hat die Einhaltung der Voraussetzungen nach den Sätzen 1 und 2 zu überwachen.</w:t>
      </w:r>
    </w:p>
    <w:p>
      <w:r>
        <w:t xml:space="preserve">(2) Die zuständige Behörde kann dem Betreiber einer Schießstätte oder im Einzelfall dem Benutzer Ausnahmen von den Beschränkungen des Absatzes 1 gestatten, soweit Belange der öffentlichen Sicherheit und Ordnung nicht entgegenstehen.</w:t>
      </w:r>
    </w:p>
    <w:p>
      <w:r>
        <w:t xml:space="preserve">(3) Absatz 1 gilt nicht für Behörden oder Dienststellen und deren Bedienstete, die nach § 55 Abs. 1 des Waffengesetzes oder auf Grund einer nach § 55 Abs. 5 oder 6 des Waffengesetzes erlassenen Rechtsverordnung von der Anwendung des Waffengesetzes ausgenommen sind.</w:t>
      </w:r>
    </w:p>
    <w:p>
      <w:r>
        <w:rPr>
          <w:color w:val="555555"/>
          <w:sz w:val="17"/>
        </w:rPr>
        <w:t xml:space="preserve">Zitiervorschlag: § 9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