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AWaffV — Schießsportordnungen</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Die Genehmigung einer Sportordnung für das Schießen mit Schusswaffen setzt insbesondere voraus, dass das Schießen nur auf zugelassenen Schießstätten veranstaltet wird und</w:t>
      </w:r>
    </w:p>
    <w:p>
      <w:pPr>
        <w:ind w:left="420"/>
      </w:pPr>
      <w:r>
        <w:t xml:space="preserve">1. jeder Schütze den Regeln der Sportordnung unterworfen ist,</w:t>
      </w:r>
    </w:p>
    <w:p>
      <w:pPr>
        <w:ind w:left="420"/>
      </w:pPr>
      <w:r>
        <w:t xml:space="preserve">2. ausreichende Sicherheitsbestimmungen für das Schießen festgelegt und dabei insbesondere Regelungen zu den erforderlichen verantwortlichen Aufsichtspersonen (§ 10) getroffen sind,</w:t>
      </w:r>
    </w:p>
    <w:p>
      <w:pPr>
        <w:ind w:left="420"/>
      </w:pPr>
      <w:r>
        <w:t xml:space="preserve">3. mit nicht vom Schießsport ausgeschlossenen Waffen (§ 6) durchgeführt wird,</w:t>
      </w:r>
    </w:p>
    <w:p>
      <w:pPr>
        <w:ind w:left="420"/>
      </w:pPr>
      <w:r>
        <w:t xml:space="preserve">4. nicht im Schießsport unzulässige Schießübungen (§ 7) durchgeführt werden,</w:t>
      </w:r>
    </w:p>
    <w:p>
      <w:pPr>
        <w:ind w:left="420"/>
      </w:pPr>
      <w:r>
        <w:t xml:space="preserve">5. jede einzelne Schießdisziplin beschrieben und die für sie zugelassenen Waffen nach Art, Kaliber, Lauflänge und Visierung bezeichnet sind, wobei bei einzelnen Schießdisziplinen auch ausdrücklich festgelegt werden kann, dass nur einzelne oder auch keine speziellen Vorgaben (freie Klassen) erfolgen, und</w:t>
      </w:r>
    </w:p>
    <w:p>
      <w:pPr>
        <w:ind w:left="420"/>
      </w:pPr>
      <w:r>
        <w:t xml:space="preserve">6. zur Ausübung der jeweiligen Schießdisziplinen zugelassene Schießstätten zur regelmäßigen Nutzung verfügbar sind.</w:t>
      </w:r>
    </w:p>
    <w:p>
      <w:r>
        <w:t xml:space="preserve">(2) Dem Antrag auf Genehmigung einer Schießsportordnung sind die zur Prüfung des Vorliegens der Voraussetzungen wesentlichen Regelungen und Angaben, insbesondere auch die Beschreibung des Ablaufs der einzelnen Schießdisziplinen, beizufügen. Die Genehmigung von Änderungen der Schießsportordnung, insbesondere von der Neuaufnahme von Schießdisziplinen, ist vor Aufnahme des jeweiligen Schießbetriebs nach den geänderten Regeln einzuholen. Der Wegfall oder der Ersatz der regelmäßigen Nutzungsmöglichkeit von nach Absatz 1 Nr. 6 angegebenen Schießstätten ist unverzüglich anzuzeigen.</w:t>
      </w:r>
    </w:p>
    <w:p>
      <w:r>
        <w:t xml:space="preserve">(3) Im Einzelfall kann ein Verband oder ein ihm angegliederter Teilverband zur Erprobung neuer Schießübungen Abweichungen von den Schießdisziplinen der genehmigten Schießsportordnung zulassen. Zulassungen nach Satz 1 sind auf höchstens ein Jahr zu befristen und müssen die Art der Abweichung von der genehmigten Schießsportordnung bezeichnen; sie sind dem Bundesverwaltungsamt vor Beginn der Erprobungsphase anzuzeigen. Das Bundesverwaltungsamt kann zur Abwehr von Gefahren für die öffentliche Sicherheit oder Ordnung Zulassungen nach Satz 1 untersagen oder Anordnungen treffen.</w:t>
      </w:r>
    </w:p>
    <w:p>
      <w:r>
        <w:t xml:space="preserve">(4) Für das sportliche Schießen im Training und im Einzelfall für Schießsportveranstaltungen können Schießsportordnungen Abweichungen von den in ihr festgelegten Schießdisziplinen zulassen.</w:t>
      </w:r>
    </w:p>
    <w:p>
      <w:r>
        <w:rPr>
          <w:color w:val="555555"/>
          <w:sz w:val="17"/>
        </w:rPr>
        <w:t xml:space="preserve">Zitiervorschlag: § 5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