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AWaffV — Europäischer Feuerwaffenpass</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Die Geltungsdauer des Europäischen Feuerwaffenpasses nach § 32 Abs. 6 des Waffengesetzes beträgt fünf Jahre; soweit bei Jägern oder Sportschützen in ihm nur Einzellader-Langwaffen mit glattem Lauf oder mit glatten Läufen eingetragen sind, beträgt sie zehn Jahre. Die Geltungsdauer kann zweimal um jeweils fünf Jahre verlängert werden. § 9 Abs. 1 und 2 und § 37 Abs. 2 des Waffengesetzes gelten entsprechend.</w:t>
      </w:r>
    </w:p>
    <w:p>
      <w:r>
        <w:t xml:space="preserve">(2) Der Antragsteller hat die Angaben nach § 30 Abs. 1 Satz 2 Nr. 1 bis 3 zu machen. Er hat ein Lichtbild aus neuerer Zeit in der Größe von mindestens 45 Millimeter x 35 Millimeter im Hochformat ohne Rand abzugeben. Das Lichtbild muss das Gesicht im Ausmaß von mindestens 20 Millimeter darstellen und den Antragsteller zweifelsfrei erkennen lassen. Der Hintergrund muss heller sein als die Gesichtspartie.</w:t>
      </w:r>
    </w:p>
    <w:p>
      <w:r>
        <w:rPr>
          <w:color w:val="555555"/>
          <w:sz w:val="17"/>
        </w:rPr>
        <w:t xml:space="preserve">Zitiervorschlag: § 33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