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AWaffV — Erlaubnisse für die Mitnahme von Waffen und Munition nach, durch oder aus Deutschland</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Eine Erlaubnis nach § 32 Absatz 1 Satz 1 oder Absatz 1a Satz 1 des Waffengesetzes wird durch einen Erlaubnisschein der zuständigen Behörde erteilt. Für die Erteilung der Erlaubnis nach Satz 1 hat der Antragsteller folgende Angaben zu machen:</w:t>
      </w:r>
    </w:p>
    <w:p>
      <w:pPr>
        <w:ind w:left="420"/>
      </w:pPr>
      <w:r>
        <w:t xml:space="preserve">1. über seine Person:Vor- und Familienname, Geburtsdatum und -ort, Wohnort und Anschrift, bei Firmen auch Telefon- oder Telefaxnummer, sowie Nummer, Ausstellungsdatum und ausstellende Behörde des Passes oder des Personalausweises;</w:t>
      </w:r>
    </w:p>
    <w:p>
      <w:pPr>
        <w:ind w:left="420"/>
      </w:pPr>
      <w:r>
        <w:t xml:space="preserve">2. über die Waffen:bei Schusswaffen Anzahl und Art der Waffen, Kategorie nach der Anlage 1 Abschnitt 3 zum Waffengesetz, Firma oder eingetragenes Markenzeichen des Herstellers, Modellbezeichnung, Kaliber, Herstellungsnummer und gegebenenfalls CIP-Beschusszeichen; bei sonstigen Waffen Anzahl und Art der Waffen;</w:t>
      </w:r>
    </w:p>
    <w:p>
      <w:pPr>
        <w:ind w:left="420"/>
      </w:pPr>
      <w:r>
        <w:t xml:space="preserve">3. über die Munition:Anzahl und Art der Munition, Kategorie nach der Richtlinie 93/15/EWG des Rates vom 5. April 1993 zur Harmonisierung der Bestimmungen über das Inverkehrbringen und die Kontrolle von Explosivstoffen für zivile Zwecke (ABl. EG Nr. L 121 S. 20), Firma oder eingetragenes Markenzeichen des Herstellers, Kaliber und gegebenenfalls CIP-Munitionsprüfzeichen;</w:t>
      </w:r>
    </w:p>
    <w:p>
      <w:pPr>
        <w:ind w:left="420"/>
      </w:pPr>
      <w:r>
        <w:t xml:space="preserve">4. über den Grund der Mitnahme:genaue Angabe des Ortes, zu dem die Waffen oder die Munition mitgenommen werden sollen, und der Zweck der Mitnahme.</w:t>
      </w:r>
    </w:p>
    <w:p>
      <w:r>
        <w:t xml:space="preserve">Der Erlaubnisschein für die Mitnahme von Waffen oder Munition aus einem Drittstaat muss alle in Satz 2 genannten Angaben enthalten.</w:t>
      </w:r>
    </w:p>
    <w:p>
      <w:r>
        <w:t xml:space="preserve">(2) Bei der Erteilung einer Erlaubnis nach § 32 Abs. 1 Satz 1 des Waffengesetzes kann die Sachkunde auch als nachgewiesen angesehen werden, wenn eine ausreichende Kenntnis der geforderten Inhalte durch einen Beleg des Staates, in dem die Person ihren gewöhnlichen Aufenthalt hat, glaubhaft gemacht wird.</w:t>
      </w:r>
    </w:p>
    <w:p>
      <w:r>
        <w:t xml:space="preserve">(3) Bei der Erteilung einer Erlaubnis nach § 32 Abs. 4 des Waffengesetzes kann die zuständige Behörde auf einzelne der in Absatz 1 Satz 2 Nr. 2 und 3 aufgeführten Angaben verzichten, wenn diese nicht rechtzeitig gemacht werden können. Die Angaben sind der zuständigen Behörde unverzüglich nachzureichen und bei der Einreise den nach § 33 Abs. 3 des Waffengesetzes zuständigen Überwachungsbehörden mitzuteilen.</w:t>
      </w:r>
    </w:p>
    <w:p>
      <w:r>
        <w:t xml:space="preserve">(4) Die zuständige Behörde kann in besonderen Fällen gestatten, dass Antragstellungen für die Erteilung einer Erlaubnis nach § 32 Abs. 4 des Waffengesetzes durch mehrere Personen gemeinsam auf dem hierfür vorgesehenen amtlichen Vordruck erfolgen. Im Falle des Satzes 1 sind für die Antragsteller jeweils die Angaben nach Absatz 1 Satz 2 Nr. 1 und 4 vollständig zu machen, die Angaben nach Absatz 1 Satz 2 Nr. 2 und 3, soweit die Behörde hierauf nicht verzichtet hat.</w:t>
      </w:r>
    </w:p>
    <w:p>
      <w:r>
        <w:rPr>
          <w:color w:val="555555"/>
          <w:sz w:val="17"/>
        </w:rPr>
        <w:t xml:space="preserve">Zitiervorschlag: § 30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