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AWaffV — Anderweitiger Nachweis der Sachkunde</w:t>
      </w:r>
    </w:p>
    <w:p>
      <w:r>
        <w:rPr>
          <w:color w:val="555555"/>
          <w:sz w:val="18"/>
        </w:rPr>
        <w:t xml:space="preserve">Allgemeine Waffengesetz-Verordnung</w:t>
      </w:r>
    </w:p>
    <w:p>
      <w:r>
        <w:rPr>
          <w:color w:val="555555"/>
          <w:sz w:val="18"/>
        </w:rPr>
        <w:t xml:space="preserve">Stand: 10.06.2019 (konsolidierte Textfassung, kein amtliches Inkrafttretensdatum)</w:t>
      </w:r>
    </w:p>
    <w:p>
      <w:r>
        <w:t xml:space="preserve">(1) Die Sachkunde gilt insbesondere als nachgewiesen, wenn der Antragsteller</w:t>
      </w:r>
    </w:p>
    <w:p>
      <w:pPr>
        <w:ind w:left="780"/>
      </w:pPr>
      <w:r>
        <w:t xml:space="preserve">a) die Jägerprüfung oder eine ihr gleichgestellte Prüfung bestanden hat oder durch eine Bescheinigung eines Ausbildungsleiters für das Schießwesen nachweist, dass er die erforderlichen Kenntnisse durch Teilnahme an einem Lehrgang für die Ablegung der Jägerprüfung erworben hat,</w:t>
      </w:r>
    </w:p>
    <w:p>
      <w:pPr>
        <w:ind w:left="780"/>
      </w:pPr>
      <w:r>
        <w:t xml:space="preserve">b) die Gesellenprüfung für das Büchsenmacherhandwerk bestanden hat oder</w:t>
      </w:r>
    </w:p>
    <w:p>
      <w:pPr>
        <w:ind w:left="780"/>
      </w:pPr>
      <w:r>
        <w:t xml:space="preserve">a) seine Fachkunde nach § 22 Abs. 1 Satz 1 des Waffengesetzes nachgewiesen hat,</w:t>
      </w:r>
    </w:p>
    <w:p>
      <w:pPr>
        <w:ind w:left="780"/>
      </w:pPr>
      <w:r>
        <w:t xml:space="preserve">b) mindestens drei Jahre als Vollzeitkraft im Handel mit Schusswaffen und Munition tätig gewesen ist oder</w:t>
      </w:r>
    </w:p>
    <w:p>
      <w:pPr>
        <w:ind w:left="780"/>
      </w:pPr>
      <w:r>
        <w:t xml:space="preserve">c) die nach § 7 des Waffengesetzes nachzuweisenden Kenntnisse auf Grund einer anderweitigen, insbesondere behördlichen oder staatlich anerkannten Ausbildung oder als Sportschütze eines anerkannten Schießsportverbandes erworben und durch eine Bescheinigung der Behörde, des Ausbildungsträgers oder Schießsportverbandes nachgewiesen hat,</w:t>
      </w:r>
    </w:p>
    <w:p>
      <w:r>
        <w:t xml:space="preserve">sofern die Tätigkeit nach Nummer 2 Buchstabe b oder Ausbildung nach Nummer 2 Buchstabe c ihrer Art nach geeignet war, die für den Umgang mit der beantragten Waffe oder Munition erforderliche Sachkunde zu vermitteln. Ausbildungen im Sinne der Nummer 2 Buchstabe c können auch durchgeführt werden im Rahmen von</w:t>
      </w:r>
    </w:p>
    <w:p>
      <w:pPr>
        <w:ind w:left="420"/>
      </w:pPr>
      <w:r>
        <w:t xml:space="preserve">1. Ausbildungen, die mit einer zum Führen eines Luft- oder Wasserfahrzeuges berechtigenden staatlichen Prüfung abschließen,</w:t>
      </w:r>
    </w:p>
    <w:p>
      <w:pPr>
        <w:ind w:left="420"/>
      </w:pPr>
      <w:r>
        <w:t xml:space="preserve">2. staatlich anerkannten Berufsausbildungen der Luft- und Seefahrt.</w:t>
      </w:r>
    </w:p>
    <w:p>
      <w:r>
        <w:t xml:space="preserve">Der Nachweis der waffenrechtlichen Sachkunde wird durch eine von der Prüfungskommission erteilte Bescheinigung oder einen Eintrag im Prüfungszeugnis oder der Fahrerlaubnis geführt.</w:t>
      </w:r>
    </w:p>
    <w:p>
      <w:r>
        <w:t xml:space="preserve">(2) Die staatliche Anerkennung von Lehrgängen zur Vermittlung der Sachkunde im Umgang mit Waffen und Munition erfolgt durch die zuständige Behörde; sie gilt für den gesamten Geltungsbereich des Waffengesetzes. Eine Anerkennung des waffenrechtlichen Teils einer zum Führen eines Luft- oder Wasserfahrzeuges berechtigenden staatlichen Prüfung soll erfolgen, wenn die theoretische Ausbildung auf der Grundlage anerkannter Grundsätze, insbesondere eines zwischen Bund, Ländern und Verbänden abgestimmten Fragenkatalogs, stattfindet und die praktische Unterweisung im Umgang mit Seenotsignalmitteln durch sachkundige Personen erfolgt.</w:t>
      </w:r>
    </w:p>
    <w:p>
      <w:r>
        <w:t xml:space="preserve">(3) Lehrgänge dürfen nur anerkannt werden, wenn in einem theoretischen Teil die in § 1 Abs. 1 Nr. 1 und 2 bezeichneten Kenntnisse und in einem praktischen Teil ausreichende Fertigkeiten in der Handhabung von Waffen und im Schießen mit Schusswaffen im Sinne des § 1 Abs. 1 Nr. 3 vermittelt werden; § 1 Abs. 2 bleibt unberührt. Außerdem dürfen Lehrgänge nur anerkannt werden, wenn</w:t>
      </w:r>
    </w:p>
    <w:p>
      <w:pPr>
        <w:ind w:left="420"/>
      </w:pPr>
      <w:r>
        <w:t xml:space="preserve">1. der Antragsteller die erforderliche Zuverlässigkeit und persönliche Eignung für die Durchführung des Lehrgangs besitzt,</w:t>
      </w:r>
    </w:p>
    <w:p>
      <w:pPr>
        <w:ind w:left="420"/>
      </w:pPr>
      <w:r>
        <w:t xml:space="preserve">2. die fachliche Leitung des Lehrgangs und die von dem Lehrgangsträger beauftragten Lehrkräfte die ordnungsgemäße Durchführung der Ausbildung gewährleisten,</w:t>
      </w:r>
    </w:p>
    <w:p>
      <w:pPr>
        <w:ind w:left="420"/>
      </w:pPr>
      <w:r>
        <w:t xml:space="preserve">3. die Dauer des Lehrgangs eine ordnungsgemäße Vermittlung der erforderlichen Kenntnisse und Fertigkeiten gewährleistet und</w:t>
      </w:r>
    </w:p>
    <w:p>
      <w:pPr>
        <w:ind w:left="420"/>
      </w:pPr>
      <w:r>
        <w:t xml:space="preserve">4. der Antragsteller mit den erforderlichen Lehrmitteln ausgestattet ist und über einen geeigneten Unterrichtsraum verfügt.</w:t>
      </w:r>
    </w:p>
    <w:p>
      <w:r>
        <w:t xml:space="preserve">(4) Der Lehrgang ist mit einer theoretischen und einer praktischen Prüfung abzuschließen. Sie ist vor einem Prüfungsausschuss abzulegen, der von dem Lehrgangsträger gebildet wird. Im Übrigen gilt § 2 entsprechend mit der Maßgabe, dass der Lehrgangsträger verpflichtet ist,</w:t>
      </w:r>
    </w:p>
    <w:p>
      <w:pPr>
        <w:ind w:left="420"/>
      </w:pPr>
      <w:r>
        <w:t xml:space="preserve">1. die Durchführung der Prüfung und die Namen der Prüfungsteilnehmer der für den Ort der Lehrgangsveranstaltung zuständigen Behörde zwei Wochen vor dem Tag der Prüfung anzuzeigen und</w:t>
      </w:r>
    </w:p>
    <w:p>
      <w:pPr>
        <w:ind w:left="420"/>
      </w:pPr>
      <w:r>
        <w:t xml:space="preserve">2. einem Vertreter der Behörde die Teilnahme an der Prüfung zu gestatten. Im Falle seiner Teilnahme hat der Vertreter der Behörde die Stellung eines weiteren Beisitzers im Prüfungsausschuss; bei Stimmengleichheit gibt die Stimme des Vorsitzenden den Ausschlag.</w:t>
      </w:r>
    </w:p>
    <w:p>
      <w:r>
        <w:t xml:space="preserve">(5) Schießsportliche Vereine, die einem nach § 15 Abs. 3 des Waffengesetzes anerkannten Schießsportverband angehören, können Sachkundeprüfungen für ihre Mitglieder abnehmen. Absatz 2, zweiter Halbsatz und die Absätze 3 und 4 finden hierfür entsprechende Anwendung. Zur Durchführung der Prüfung bilden die schießsportlichen Vereine eigene Prüfungsausschüsse.</w:t>
      </w:r>
    </w:p>
    <w:p>
      <w:r>
        <w:rPr>
          <w:color w:val="555555"/>
          <w:sz w:val="17"/>
        </w:rPr>
        <w:t xml:space="preserve">Zitiervorschlag: § 3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