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AWaffV — Allgemeine Bestimmungen</w:t>
      </w:r>
    </w:p>
    <w:p>
      <w:r>
        <w:rPr>
          <w:color w:val="555555"/>
          <w:sz w:val="18"/>
        </w:rPr>
        <w:t xml:space="preserve">Allgemeine Waffengesetz-Verordnung</w:t>
      </w:r>
    </w:p>
    <w:p>
      <w:r>
        <w:rPr>
          <w:color w:val="555555"/>
          <w:sz w:val="18"/>
        </w:rPr>
        <w:t xml:space="preserve">Stand: 10.06.2019 (konsolidierte Textfassung, kein amtliches Inkrafttretensdatum)</w:t>
      </w:r>
    </w:p>
    <w:p>
      <w:r>
        <w:t xml:space="preserve">(1) Auf Staatsangehörige eines Mitgliedstaates ist § 21 Abs. 4 Nr. 1 des Waffengesetzes nicht anzuwenden.</w:t>
      </w:r>
    </w:p>
    <w:p>
      <w:r>
        <w:t xml:space="preserve">(2) Auf Staatsangehörige eines Mitgliedstaates, die in einem anderen Mitgliedstaat ihren gewöhnlichen Aufenthalt haben, ist § 21 Abs. 4 Nr. 2 des Waffengesetzes nicht anzuwenden, soweit die Erlaubnis darauf beschränkt wird,</w:t>
      </w:r>
    </w:p>
    <w:p>
      <w:pPr>
        <w:ind w:left="420"/>
      </w:pPr>
      <w:r>
        <w:t xml:space="preserve">1. Bestellungen auf Waffen oder Munition bei Inhabern einer Waffenherstellungs- oder Waffenhandelserlaubnis aufzusuchen und diesen den Erwerb, den Vertrieb oder das Überlassen solcher Gegenstände zu vermitteln und</w:t>
      </w:r>
    </w:p>
    <w:p>
      <w:pPr>
        <w:ind w:left="420"/>
      </w:pPr>
      <w:r>
        <w:t xml:space="preserve">2. den Besitz nur über solche Waffen oder Munition auszuüben, die als Muster, als Proben oder als Teile einer Sammlung mitgeführt werden.</w:t>
      </w:r>
    </w:p>
    <w:p>
      <w:r>
        <w:t xml:space="preserve">(3) Absatz 2 ist entsprechend anzuwenden auf Gesellschaften, die nach den Rechtsvorschriften eines Mitgliedstaates gegründet sind und ihren satzungsmäßigen Sitz, ihre Hauptverwaltung oder ihre Hauptniederlassung innerhalb der Europäischen Union haben. Soweit diese Gesellschaften nur ihren satzungsmäßigen Sitz, jedoch weder ihre Hauptverwaltung noch ihre Hauptniederlassung innerhalb der Europäischen Union haben, gilt Satz 1 nur, wenn ihre Tätigkeit in tatsächlicher und dauerhafter Verbindung mit der Wirtschaft eines Mitgliedstaates steht.</w:t>
      </w:r>
    </w:p>
    <w:p>
      <w:r>
        <w:t xml:space="preserve">(4) Die Vorschriften der Absätze 1 bis 3 zugunsten von Staatsangehörigen eines Mitgliedstaates sind nicht anzuwenden, soweit dies zur Beseitigung einer Störung der öffentlichen Sicherheit oder Ordnung oder zur Abwehr einer bevorstehenden Gefahr für die öffentliche Sicherheit oder Ordnung im Einzelfall erforderlich ist.</w:t>
      </w:r>
    </w:p>
    <w:p>
      <w:r>
        <w:t xml:space="preserve">(5) Auf Staatsangehörige eines Mitgliedstaates ist § 4 Abs. 2 des Waffengesetzes nicht anzuwenden, soweit sie im Geltungsbereich des Waffengesetzes ihren gewöhnlichen Aufenthalt haben und eine selbstständige oder unselbstständige Tätigkeit ausüben, die den Erwerb, den Besitz oder das Führen einer Waffe oder von Munition erfordert.</w:t>
      </w:r>
    </w:p>
    <w:p>
      <w:r>
        <w:rPr>
          <w:color w:val="555555"/>
          <w:sz w:val="17"/>
        </w:rPr>
        <w:t xml:space="preserve">Zitiervorschlag: § 26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