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25c AWaffV — Erwerb und Besitz von unbrauchbar gemachten Schusswaffen, die nicht den Vorgaben der Verordnung (EU) 2015/2403 entsprechen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19.09.2020 (konsolidierte Textfassung, kein amtliches Inkrafttretensdatum)</w:t>
      </w:r>
    </w:p>
    <w:p>
      <w:r>
        <w:t xml:space="preserve">(1) Für Schusswaffen, die</w:t>
      </w:r>
    </w:p>
    <w:p>
      <w:pPr>
        <w:ind w:left="420"/>
      </w:pPr>
      <w:r>
        <w:t xml:space="preserve">1. vor dem 1. April 2003 entsprechend den Anforderungen des § 7 der Ersten Verordnung zum Waffengesetz vom 24. Mai 1976 (BGBl. I S. 1285) in der bis zu diesem Zeitpunkt geltenden Fassung unbrauchbar gemacht worden sind,</w:t>
      </w:r>
    </w:p>
    <w:p>
      <w:pPr>
        <w:ind w:left="420"/>
      </w:pPr>
      <w:r>
        <w:t xml:space="preserve">2. vor dem 8. April 2016 entsprechend den Anforderungen der Anlage 1 Abschnitt 1 Unterabschnitt 1 Nummer 1.4 in der Fassung des Gesetzes vom 11. Oktober 2002 (BGBl. I S. 3970, 4592; 2003 I S. 1957) unbrauchbar gemacht worden sind und die ein Zulassungszeichen nach Anlage II Abbildung 11 der Beschussverordnung vom 13. Juli 2006 (BGBl. I S. 1474) in der bis zu diesem Zeitpunkt geltenden Fassung aufweisen oder</w:t>
      </w:r>
    </w:p>
    <w:p>
      <w:pPr>
        <w:ind w:left="420"/>
      </w:pPr>
      <w:r>
        <w:t xml:space="preserve">3. vor dem 28. Juni 2018 entsprechend den Anforderungen der Durchführungsverordnung (EU) 2015/2403 unbrauchbar gemacht worden sind,</w:t>
      </w:r>
    </w:p>
    <w:p>
      <w:r>
        <w:t xml:space="preserve">besteht die Berechtigung zum Besitz fort, es sei denn, die Schusswaffen werden in einen anderen Mitgliedstaat verbracht. Im Übrigen gelten die in Satz 1 genannten Schusswaffen als Schusswaffen im Sinne von § 1 Absatz 2 Nummer 1 des Waffengesetzes.</w:t>
      </w:r>
    </w:p>
    <w:p>
      <w:r>
        <w:t xml:space="preserve">(2) Wer gemäß Absatz 1 Satz 1 zum Besitz einer dort genannten Schusswaffe berechtigt ist, kann diese erlaubnisfrei überlassen. § 37a Satz 1 Nummer 1, § 37e Absatz 3, §§ 37f und 37h des Waffengesetzes gelten entsprechend.</w:t>
      </w:r>
    </w:p>
    <w:p>
      <w:r>
        <w:t xml:space="preserve">(3) Für die Erteilung einer Erlaubnis zum Erwerb und Besitz von in Absatz 1 Satz 1 genannten Schusswaffen ist weder ein Nachweis der Sachkunde gemäß § 7 des Waffengesetzes noch ein Nachweis eines Bedürfnisses gemäß § 8 des Waffengesetzes erforderlich.</w:t>
      </w:r>
    </w:p>
    <w:p>
      <w:r>
        <w:t xml:space="preserve">(4) § 39b Absatz 3 des Waffengesetzes gilt für die unter Absatz 1 Satz 1 genannten Schusswaffen entsprechend.</w:t>
      </w:r>
    </w:p>
    <w:p>
      <w:r>
        <w:rPr>
          <w:color w:val="555555"/>
          <w:sz w:val="17"/>
        </w:rPr>
        <w:t xml:space="preserve">Zitiervorschlag: § 25c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https://recht.nulegal.eu/gesetze/AWaffV/25c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