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25b AWaffV — Vernichtung unbrauchbar gemachter Schusswaffen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19.09.2020 (konsolidierte Textfassung, kein amtliches Inkrafttretensdatum)</w:t>
      </w:r>
    </w:p>
    <w:p>
      <w:r>
        <w:t xml:space="preserve">Wer eine unbrauchbar gemachte Schusswaffe vernichtet, hat die Deaktivierungsbescheinigung und alle beglaubigten Abschriften, Abdrucke, Ablichtungen und dergleichen der Deaktivierungsbescheinigung unverzüglich bei der gemäß § 48 Absatz 1 und 3 des Waffengesetzes zuständigen Behörde abzugeben.</w:t>
      </w:r>
    </w:p>
    <w:p>
      <w:r>
        <w:rPr>
          <w:color w:val="555555"/>
          <w:sz w:val="17"/>
        </w:rPr>
        <w:t xml:space="preserve">Zitiervorschlag: § 25b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https://recht.nulegal.eu/gesetze/AWaffV/25b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