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25a AWaffV — Besondere Bestimmungen in Bezug auf den Umgang mit unbrauchbar gemachten Schusswaffen</w:t>
      </w:r>
    </w:p>
    <w:p>
      <w:r>
        <w:rPr>
          <w:color w:val="555555"/>
          <w:sz w:val="18"/>
        </w:rPr>
        <w:t xml:space="preserve">Allgemeine Waffengesetz-Verordnung</w:t>
      </w:r>
    </w:p>
    <w:p>
      <w:r>
        <w:rPr>
          <w:color w:val="555555"/>
          <w:sz w:val="18"/>
        </w:rPr>
        <w:t xml:space="preserve">Stand: 19.09.2020 (konsolidierte Textfassung, kein amtliches Inkrafttretensdatum)</w:t>
      </w:r>
    </w:p>
    <w:p>
      <w:r>
        <w:t xml:space="preserve">(1) Der Besitzer einer unbrauchbar gemachten Schusswaffe ist verpflichtet, die Deaktivierungsbescheinigung nach § 8a Absatz 2 Satz 3 des Beschussgesetzes aufzubewahren. Kommt ihm die Deaktivierungsbescheinigung abhanden, so hat er dies der gemäß § 48 Absatz 1 und 3 des Waffengesetzes zuständigen Behörde unverzüglich nach Feststellung des Abhandenkommens anzuzeigen. § 37b Absatz 5 des Waffengesetzes gilt entsprechend.</w:t>
      </w:r>
    </w:p>
    <w:p>
      <w:r>
        <w:t xml:space="preserve">(2) Wer eine unbrauchbar gemachte Schusswaffe führt oder transportiert, ist verpflichtet, dabei die Deaktivierungsbescheinigung oder eine amtlich beglaubigte Abschrift hiervon mit sich zu führen.</w:t>
      </w:r>
    </w:p>
    <w:p>
      <w:r>
        <w:t xml:space="preserve">(3) Das dauerhafte Überlassen im Geltungsbereich des Waffengesetzes sowie das Verbringen und die Mitnahme von unbrauchbar gemachten Schusswaffen</w:t>
      </w:r>
    </w:p>
    <w:p>
      <w:pPr>
        <w:ind w:left="420"/>
      </w:pPr>
      <w:r>
        <w:t xml:space="preserve">1. in den Geltungsbereich des Waffengesetzes,</w:t>
      </w:r>
    </w:p>
    <w:p>
      <w:pPr>
        <w:ind w:left="420"/>
      </w:pPr>
      <w:r>
        <w:t xml:space="preserve">2. durch den Geltungsbereich des Waffengesetzes oder</w:t>
      </w:r>
    </w:p>
    <w:p>
      <w:pPr>
        <w:ind w:left="420"/>
      </w:pPr>
      <w:r>
        <w:t xml:space="preserve">3. aus dem Geltungsbereich des Waffengesetzes in einen anderen Mitgliedstaat</w:t>
      </w:r>
    </w:p>
    <w:p>
      <w:r>
        <w:t xml:space="preserve">ist nur zulässig gemeinsam mit der Deaktivierungsbescheinigung nach § 8a Absatz 2 Satz 3 des Beschussgesetzes oder gemeinsam mit einer entsprechenden Bescheinigung eines anderen Mitgliedstaates auf Grundlage des Anhangs III der Durchführungsverordnung (EU) 2015/2403 der Kommission vom 15. Dezember 2015 zur Festlegung gemeinsamer Leitlinien über Deaktivierungsstandards und -techniken, die gewährleisten, dass Feuerwaffen bei der Deaktivierung endgültig unbrauchbar gemacht werden (ABl. L 333 vom 19.12.2015, S. 62), die zuletzt durch die Durchführungsverordnung (EU) 2018/337 (ABl. L 65 vom 8.3.2018, S. 1) geändert worden ist.</w:t>
      </w:r>
    </w:p>
    <w:p>
      <w:r>
        <w:rPr>
          <w:color w:val="555555"/>
          <w:sz w:val="17"/>
        </w:rPr>
        <w:t xml:space="preserve">Zitiervorschlag: § 25a AWaffV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https://recht.nulegal.eu/gesetze/AWaffV/25a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