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AWaffV — Zulassung zum Lehrgang</w:t>
      </w:r>
    </w:p>
    <w:p>
      <w:r>
        <w:rPr>
          <w:color w:val="555555"/>
          <w:sz w:val="18"/>
        </w:rPr>
        <w:t xml:space="preserve">Allgemeine Waffengesetz-Verordnung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Zur Teilnahme an den Lehrgängen oder Schießübungen im Sinne des § 22 dürfen nur Personen zugelassen werden,</w:t>
      </w:r>
    </w:p>
    <w:p>
      <w:pPr>
        <w:ind w:left="420"/>
      </w:pPr>
      <w:r>
        <w:t xml:space="preserve">1. die auf Grund eines Waffenscheins oder einer Bescheinigung nach § 55 Abs. 2 des Waffengesetzes zum Führen einer Schusswaffe berechtigt sind oder</w:t>
      </w:r>
    </w:p>
    <w:p>
      <w:pPr>
        <w:ind w:left="420"/>
      </w:pPr>
      <w:r>
        <w:t xml:space="preserve">2. denen ein in § 55 Abs. 1 des Waffengesetzes bezeichneter Dienstherr die dienstlichen Gründe zum Führen einer Schusswaffe bescheinigt hat oder denen von der zuständigen Behörde eine Bescheinigung nach Absatz 2 erteilt worden ist.</w:t>
      </w:r>
    </w:p>
    <w:p>
      <w:r>
        <w:t xml:space="preserve">Die verantwortliche Aufsichtsperson hat sich vor der Aufnahme des Schießbetriebs vom Vorliegen der in Satz 1 genannten Erfordernisse zu überzeugen.</w:t>
      </w:r>
    </w:p>
    <w:p>
      <w:r>
        <w:t xml:space="preserve">(2) Die zuständige Behörde kann Inhabern einer für Kurzwaffen ausgestellten Waffenbesitzkarte und Inhabern eines Jagdscheins, die im Sinne des § 19 des Waffengesetzes persönlich gefährdet sind, die Teilnahme an Lehrgängen oder Schießübungen der in § 22 genannten Art gestatten.</w:t>
      </w:r>
    </w:p>
    <w:p>
      <w:r>
        <w:rPr>
          <w:color w:val="555555"/>
          <w:sz w:val="17"/>
        </w:rPr>
        <w:t xml:space="preserve">Zitiervorschlag: § 23 AWaffV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https://recht.nulegal.eu/gesetze/AWaffV/23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