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AWaffV — Führung der Ersatzdokumentation in gebundener Form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19.09.2020 (konsolidierte Textfassung, kein amtliches Inkrafttretensdatum)</w:t>
      </w:r>
    </w:p>
    <w:p>
      <w:r>
        <w:t xml:space="preserve">(1) Wird die Ersatzdokumentation in gebundener Form geführt, so sind die Seiten laufend zu nummerieren; die Zahl der Seiten ist auf dem Titelblatt anzugeben.</w:t>
      </w:r>
    </w:p>
    <w:p>
      <w:r>
        <w:t xml:space="preserve">(2) Die in gebundener Form geführte Ersatzdokumentation hat folgende Angaben zu enthalten:</w:t>
      </w:r>
    </w:p>
    <w:p>
      <w:pPr>
        <w:ind w:left="420"/>
      </w:pPr>
      <w:r>
        <w:t xml:space="preserve">1. laufende Nummer der Eintragung,</w:t>
      </w:r>
    </w:p>
    <w:p>
      <w:pPr>
        <w:ind w:left="420"/>
      </w:pPr>
      <w:r>
        <w:t xml:space="preserve">2. Datum des Eingangs,</w:t>
      </w:r>
    </w:p>
    <w:p>
      <w:pPr>
        <w:ind w:left="420"/>
      </w:pPr>
      <w:r>
        <w:t xml:space="preserve">3. Waffentyp,</w:t>
      </w:r>
    </w:p>
    <w:p>
      <w:pPr>
        <w:ind w:left="420"/>
      </w:pPr>
      <w:r>
        <w:t xml:space="preserve">4. Name, Firma oder Marke, die auf der Waffe angebracht sind,</w:t>
      </w:r>
    </w:p>
    <w:p>
      <w:pPr>
        <w:ind w:left="420"/>
      </w:pPr>
      <w:r>
        <w:t xml:space="preserve">5. Herstellungsnummer,</w:t>
      </w:r>
    </w:p>
    <w:p>
      <w:pPr>
        <w:ind w:left="420"/>
      </w:pPr>
      <w:r>
        <w:t xml:space="preserve">6. Name und Anschrift des Überlassers,</w:t>
      </w:r>
    </w:p>
    <w:p>
      <w:pPr>
        <w:ind w:left="420"/>
      </w:pPr>
      <w:r>
        <w:t xml:space="preserve">7. Datum des Abgangs oder der Kenntnis des Verlustes,</w:t>
      </w:r>
    </w:p>
    <w:p>
      <w:pPr>
        <w:ind w:left="420"/>
      </w:pPr>
      <w:r>
        <w:t xml:space="preserve">8. Name und Anschrift des Empfängers oder Art des Verlustes,</w:t>
      </w:r>
    </w:p>
    <w:p>
      <w:pPr>
        <w:ind w:left="420"/>
      </w:pPr>
      <w:r>
        <w:t xml:space="preserve">9. sofern die Schusswaffe nicht einem Erwerber nach § 21 Absatz 1 des Waffengesetzes überlassen wird, die Bezeichnung der Erwerbsberechtigung unter Angabe der ausstellenden Behörde und des Ausstellungsdatums, und</w:t>
      </w:r>
    </w:p>
    <w:p>
      <w:pPr>
        <w:ind w:left="420"/>
      </w:pPr>
      <w:r>
        <w:t xml:space="preserve">10. sofern die Schusswaffe einem Erwerber nach § 34 Absatz 5 Satz 1 des Waffengesetzes überlassen oder an ihn versandt wird, Bezeichnung und Datum der Bestätigung der Anzeige durch das Bundesverwaltungsamt.</w:t>
      </w:r>
    </w:p>
    <w:p>
      <w:r>
        <w:t xml:space="preserve">Die Angaben zu den Nummern 1 bis 6 sind auf den linken Seiten, die Angaben zu den Nummern 7 bis 10 jeweils auf der rechten Seite der gebundenen Ersatzdokumentation gegenüber einzutragen.</w:t>
      </w:r>
    </w:p>
    <w:p>
      <w:r>
        <w:t xml:space="preserve">(3) Die Eintragungen nach Absatz 2 sind für jede Waffe gesondert vorzunehmen.</w:t>
      </w:r>
    </w:p>
    <w:p>
      <w:r>
        <w:rPr>
          <w:color w:val="555555"/>
          <w:sz w:val="17"/>
        </w:rPr>
        <w:t xml:space="preserve">Zitiervorschlag: § 18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