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AWaffV — Vorlage und Aufbewahrung der Ersatzdokumentation</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Die Ersatzdokumentation ist auf Verlangen der zuständigen Behörde auch in deren Diensträumen oder den Beauftragten der Behörde vorzulegen.</w:t>
      </w:r>
    </w:p>
    <w:p>
      <w:r>
        <w:t xml:space="preserve">(2) Der zur Anzeige nach § 37 Absatz 1 und § 37d Absatz 1 oder 2 des Waffengesetzes Verpflichtete hat die Ersatzdokumentation im Betrieb oder in dem Betriebsteil, in dem die Schusswaffen aufbewahrt werden, bis zum Ablauf von zehn Jahren, von dem Tage der letzten Eintragung an gerechnet, aufzubewahren. Will der Verpflichtete die Ersatzdokumentation nach Ablauf der in Satz 1 genannten Frist nicht weiter aufbewahren, so hat er sie der zuständigen Behörde zur Aufbewahrung zu übergeben. Gibt der Verpflichtete das Gewerbe auf, so hat er die Ersatzdokumentation seinem Nachfolger zu übergeben oder der zuständigen Behörde zur Aufbewahrung auszuhändigen. Der Verpflichtete oder sein Nachfolger hat die Ersatzdokumentation zu vernichten, wenn seit der letzten Eintragung 30 Jahre vergangen sind.</w:t>
      </w:r>
    </w:p>
    <w:p>
      <w:r>
        <w:t xml:space="preserve">(3) Die zuständigen Behörden haben die nach Absatz 2 Satz 2 oder Satz 3 übernommenen Ersatzdokumentationen aufzubewahren. Sie haben die Ersatzdokumentation jeweils zu vernichten, wenn seit der letzten Eintragung 30 Jahre vergangen sind.</w:t>
      </w:r>
    </w:p>
    <w:p>
      <w:r>
        <w:rPr>
          <w:color w:val="555555"/>
          <w:sz w:val="17"/>
        </w:rPr>
        <w:t xml:space="preserve">Zitiervorschlag: § 17a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