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AWaffV — Grundsätze für das Führen der Ersatzdokumentation</w:t>
      </w:r>
    </w:p>
    <w:p>
      <w:r>
        <w:rPr>
          <w:color w:val="555555"/>
          <w:sz w:val="18"/>
        </w:rPr>
        <w:t xml:space="preserve">Allgemeine Waffengesetz-Verordnung</w:t>
      </w:r>
    </w:p>
    <w:p>
      <w:r>
        <w:rPr>
          <w:color w:val="555555"/>
          <w:sz w:val="18"/>
        </w:rPr>
        <w:t xml:space="preserve">Stand: 19.09.2020 (konsolidierte Textfassung, kein amtliches Inkrafttretensdatum)</w:t>
      </w:r>
    </w:p>
    <w:p>
      <w:r>
        <w:t xml:space="preserve">(1) Die Ersatzdokumentation ist in gebundener Form oder in Karteiform oder mit Hilfe der elektronischen Datenverarbeitung im Betrieb oder in dem Betriebsteil, in dem die Schusswaffen aufbewahrt werden, zu führen und gegen Abhandenkommen, Datenverlust und unberechtigten Zugriff gesichert aufzubewahren.</w:t>
      </w:r>
    </w:p>
    <w:p>
      <w:r>
        <w:t xml:space="preserve">(2) Alle Eintragungen im Rahmen der Ersatzdokumentation sind unverzüglich in dauerhafter Form und in deutscher Sprache vorzunehmen; § 239 Absatz 3 des Handelsgesetzbuches gilt entsprechend. Sofern eine Eintragung nicht gemacht werden kann, ist dies unter Angabe der Gründe zu vermerken.</w:t>
      </w:r>
    </w:p>
    <w:p>
      <w:r>
        <w:t xml:space="preserve">(3) Die Ersatzdokumentation ist zum 31. Dezember jeden zweiten Jahres sowie beim Wechsel des Betriebsinhabers oder bei der Einstellung des Betriebs mit Datum und Unterschrift so abzuschließen, dass nachträglich Eintragungen nicht mehr vorgenommen werden können. Der beim Abschluss der Ersatzdokumentation verbliebene Bestand ist vorzutragen, bevor neue Eintragungen vorgenommen werden. Eine Ersatzdokumentation, die nicht mehr verwendet wird, ist unter Angabe des Datums abzuschließen.</w:t>
      </w:r>
    </w:p>
    <w:p>
      <w:r>
        <w:rPr>
          <w:color w:val="555555"/>
          <w:sz w:val="17"/>
        </w:rPr>
        <w:t xml:space="preserve">Zitiervorschlag: § 17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