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AWaffV — Umfang der Fachkunde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der Prüfung nach § 22 Abs. 1 Satz 1 des Waffengesetzes nachzuweisende Fachkunde umfasst ausreichende Kenntnisse</w:t>
      </w:r>
    </w:p>
    <w:p>
      <w:pPr>
        <w:ind w:left="420"/>
      </w:pPr>
      <w:r>
        <w:t xml:space="preserve">1. der Vorschriften über den Handel mit Schusswaffen und Munition, den Erwerb und das Führen von Schusswaffen sowie der Grundzüge der sonstigen waffenrechtlichen und der beschussrechtlichen Vorschriften,</w:t>
      </w:r>
    </w:p>
    <w:p>
      <w:pPr>
        <w:ind w:left="420"/>
      </w:pPr>
      <w:r>
        <w:t xml:space="preserve">2. über Art, Konstruktion und Handhabung der gebräuchlichen Schusswaffen, wenn die Erlaubnis für den Handel mit Schusswaffen beantragt ist, und</w:t>
      </w:r>
    </w:p>
    <w:p>
      <w:pPr>
        <w:ind w:left="420"/>
      </w:pPr>
      <w:r>
        <w:t xml:space="preserve">3. über die Behandlung der gebräuchlichen Munition und ihre Verwendung in der dazugehörigen Schusswaffe, wenn die Erlaubnis für den Handel mit Munition beantragt ist.</w:t>
      </w:r>
    </w:p>
    <w:p>
      <w:r>
        <w:t xml:space="preserve">(2) Der Antragsteller hat in der Prüfung nach Absatz 1 Kenntnisse nachzuweisen über</w:t>
      </w:r>
    </w:p>
    <w:p>
      <w:pPr>
        <w:ind w:left="420"/>
      </w:pPr>
      <w:r>
        <w:t xml:space="preserve">1. Schusswaffen und Munition aller Art, wenn eine umfassende Waffenhandelserlaubnis beantragt ist,</w:t>
      </w:r>
    </w:p>
    <w:p>
      <w:pPr>
        <w:ind w:left="420"/>
      </w:pPr>
      <w:r>
        <w:t xml:space="preserve">2. die in der Anlage aufgeführten Waffen- oder Munitionsarten, für die Erlaubnis zum Handel beantragt ist.</w:t>
      </w:r>
    </w:p>
    <w:p>
      <w:r>
        <w:rPr>
          <w:color w:val="555555"/>
          <w:sz w:val="17"/>
        </w:rPr>
        <w:t xml:space="preserve">Zitiervorschlag: § 15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