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AWaffV — Aufbewahrung von Waffen oder Munition</w:t>
      </w:r>
    </w:p>
    <w:p>
      <w:r>
        <w:rPr>
          <w:color w:val="555555"/>
          <w:sz w:val="18"/>
        </w:rPr>
        <w:t xml:space="preserve">Allgemeine Waffengesetz-Verordnung</w:t>
      </w:r>
    </w:p>
    <w:p>
      <w:r>
        <w:rPr>
          <w:color w:val="555555"/>
          <w:sz w:val="18"/>
        </w:rPr>
        <w:t xml:space="preserve">Stand: 19.09.2020 (konsolidierte Textfassung, kein amtliches Inkrafttretensdatum)</w:t>
      </w:r>
    </w:p>
    <w:p>
      <w:r>
        <w:t xml:space="preserve">(1) Schusswaffen, deren Erwerb und Besitz erlaubnispflichtig sind, verbotene Waffen und verbotene Munition sind ungeladen und in einem Behältnis aufzubewahren, das</w:t>
      </w:r>
    </w:p>
    <w:p>
      <w:pPr>
        <w:ind w:left="420"/>
      </w:pPr>
      <w:r>
        <w:t xml:space="preserve">1. mindestens der Norm DIN/EN 1143-1 (Stand Mai 1997, Oktober 2002, Februar 2006, Januar 2010, Juli 2012 oder Juli 2019)[2] mit dem in Absatz 2 geregelten Widerstandsgrad und Gewicht entspricht und</w:t>
      </w:r>
    </w:p>
    <w:p>
      <w:pPr>
        <w:ind w:left="420"/>
      </w:pPr>
      <w:r>
        <w:t xml:space="preserve">2. zum Nachweis dessen über eine Zertifizierung durch eine akkreditierte Stelle gemäß Absatz 10 verfügt.</w:t>
      </w:r>
    </w:p>
    <w:p>
      <w:r>
        <w:t xml:space="preserve">Der in Satz 1 Nummer 1 genannten Norm gleichgestellt sind Normen eines anderen Mitgliedstaates des Übereinkommens über den Europäischen Wirtschaftsraum, die das gleiche Schutzniveau aufweisen. Die zuständige Behörde kann eine andere gleichwertige Aufbewahrung der Waffen und Munition zulassen. Vergleichbar gesicherte Räume sind als gleichwertig anzusehen. Alternative Sicherungseinrichtungen, die keine Behältnisse oder Räume sind, sind zulässig, sofern sie</w:t>
      </w:r>
    </w:p>
    <w:p>
      <w:pPr>
        <w:ind w:left="420"/>
      </w:pPr>
      <w:r>
        <w:t xml:space="preserve">1. ein den jeweiligen Anforderungen mindestens gleichwertiges Schutzniveau aufweisen und</w:t>
      </w:r>
    </w:p>
    <w:p>
      <w:pPr>
        <w:ind w:left="420"/>
      </w:pPr>
      <w:r>
        <w:t xml:space="preserve">2. zum Nachweis dessen über eine Zertifizierung durch eine akkreditierte Stelle gemäß Absatz 10 verfügen.</w:t>
      </w:r>
    </w:p>
    <w:p>
      <w:r>
        <w:t xml:space="preserve">(2) Wer Waffen oder Munition besitzt, hat diese ungeladen und unter Beachtung der folgenden Sicherheitsvorkehrungen und zahlenmäßigen Beschränkungen aufzubewahren:</w:t>
      </w:r>
    </w:p>
    <w:p>
      <w:pPr>
        <w:ind w:left="420"/>
      </w:pPr>
      <w:r>
        <w:t xml:space="preserve">1. mindestens in einem verschlossenen Behältnis: Waffen oder Munition, deren Erwerb von der Erlaubnispflicht freigestellt ist;</w:t>
      </w:r>
    </w:p>
    <w:p>
      <w:pPr>
        <w:ind w:left="420"/>
      </w:pPr>
      <w:r>
        <w:t xml:space="preserve">2. mindestens in einem Stahlblechbehältnis ohne Klassifizierung mit Schwenkriegelschloss oder einer gleichwertigen Verschlussvorrichtung oder in einem gleichwertigen Behältnis: Munition, deren Erwerb nicht von der Erlaubnispflicht freigestellt ist;</w:t>
      </w:r>
    </w:p>
    <w:p>
      <w:pPr>
        <w:ind w:left="420"/>
      </w:pPr>
      <w:r>
        <w:t xml:space="preserve">3. in einem Sicherheitsbehältnis, das mindestens der Norm DIN/EN 1143-1 Widerstandsgrad 0 (Stand Mai 1997, Oktober 2002, Februar 2006, Januar 2010, Juli 2012 oder Juli 2019 )[3] entspricht und bei dem das Gewicht des Behältnisses 200 Kilogramm unterschreitet:</w:t>
      </w:r>
    </w:p>
    <w:p>
      <w:pPr>
        <w:ind w:left="780"/>
      </w:pPr>
      <w:r>
        <w:t xml:space="preserve">a) eine unbegrenzte Anzahl von Langwaffen und insgesamt bis zu fünf nach Anlage 2 Abschnitt 1 Nummer 1.1 bis 1.2.3 und 1.2.5 des Waffengesetzes verbotene Waffen und Kurzwaffen (Anlage 1 Abschnitt 1 Unterabschnitt 1 Nummer 2.5 des Waffengesetzes), für deren Erwerb und Besitz es ihrer Art nach einer Erlaubnis bedarf, und</w:t>
      </w:r>
    </w:p>
    <w:p>
      <w:pPr>
        <w:ind w:left="780"/>
      </w:pPr>
      <w:r>
        <w:t xml:space="preserve">b) zusätzlich eine unbegrenzte Anzahl nach Anlage 2 Abschnitt 1 Nummer 1.2.4 bis 1.2.4.2 und 1.3 bis 1.4.4 des Waffengesetzes verbotener Waffen sowie</w:t>
      </w:r>
    </w:p>
    <w:p>
      <w:pPr>
        <w:ind w:left="780"/>
      </w:pPr>
      <w:r>
        <w:t xml:space="preserve">c) zusätzlich Munition;</w:t>
      </w:r>
    </w:p>
    <w:p>
      <w:pPr>
        <w:ind w:left="420"/>
      </w:pPr>
      <w:r>
        <w:t xml:space="preserve">4. in einem Sicherheitsbehältnis, das mindestens der Norm DIN/EN 1143-1 Widerstandsgrad 0 (Stand Mai 1997, Oktober 2002, Februar 2006, Januar 2010, Juli 2012 oder Juli 2019 )[4] entspricht und bei dem das Gewicht des Behältnisses mindestens 200 Kilogramm beträgt:</w:t>
      </w:r>
    </w:p>
    <w:p>
      <w:pPr>
        <w:ind w:left="780"/>
      </w:pPr>
      <w:r>
        <w:t xml:space="preserve">a) eine unbegrenzte Anzahl von Langwaffen und bis zu zehn nach Anlage 2 Abschnitt 1 Nummer 1.1 bis 1.2.3 und 1.2.5 des Waffengesetzes verbotene Waffen und Kurzwaffen (Anlage 1 Abschnitt 1 Unterabschnitt 1 Nummer 2.5 des Waffengesetzes), für deren Erwerb und Besitz es ihrer Art nach einer Erlaubnis bedarf, und</w:t>
      </w:r>
    </w:p>
    <w:p>
      <w:pPr>
        <w:ind w:left="780"/>
      </w:pPr>
      <w:r>
        <w:t xml:space="preserve">b) zusätzlich eine unbegrenzte Anzahl nach Anlage 2 Abschnitt 1 Nummer 1.2.4 bis 1.2.4.2 und 1.3 bis 1.4.4 des Waffengesetzes verbotener Waffen sowie</w:t>
      </w:r>
    </w:p>
    <w:p>
      <w:pPr>
        <w:ind w:left="780"/>
      </w:pPr>
      <w:r>
        <w:t xml:space="preserve">c) zusätzlich Munition;</w:t>
      </w:r>
    </w:p>
    <w:p>
      <w:pPr>
        <w:ind w:left="420"/>
      </w:pPr>
      <w:r>
        <w:t xml:space="preserve">5. in einem Sicherheitsbehältnis, das mindestens der Norm DIN/EN 1143-1 Widerstandsgrad I (Stand Mai 1997, Oktober 2002, Februar 2006, Januar 2010, Juli 2012 oder Juli 2019 )[5] entspricht:</w:t>
      </w:r>
    </w:p>
    <w:p>
      <w:pPr>
        <w:ind w:left="780"/>
      </w:pPr>
      <w:r>
        <w:t xml:space="preserve">a) eine unbegrenzte Anzahl von Lang- und Kurzwaffen (Anlage 1 Abschnitt 1 Unterabschnitt 1 Nummer 2.5 des Waffengesetzes), für deren Erwerb und Besitz es ihrer Art nach einer Erlaubnis bedarf,</w:t>
      </w:r>
    </w:p>
    <w:p>
      <w:pPr>
        <w:ind w:left="780"/>
      </w:pPr>
      <w:r>
        <w:t xml:space="preserve">b) eine unbegrenzte Anzahl nach Anlage 2 Abschnitt 1 Nummer 1.1 bis 1.4.4 des Waffengesetzes verbotener Waffen sowie</w:t>
      </w:r>
    </w:p>
    <w:p>
      <w:pPr>
        <w:ind w:left="780"/>
      </w:pPr>
      <w:r>
        <w:t xml:space="preserve">c) Munition.</w:t>
      </w:r>
    </w:p>
    <w:p>
      <w:r>
        <w:t xml:space="preserve">(3) Bei der Bestimmung der Zahl der Waffen, die nach Absatz 2 in einem Sicherheitsbehältnis aufbewahrt werden dürfen, bleiben außer Betracht:</w:t>
      </w:r>
    </w:p>
    <w:p>
      <w:pPr>
        <w:ind w:left="420"/>
      </w:pPr>
      <w:r>
        <w:t xml:space="preserve">1. wesentliche Teile von Schusswaffen und Schalldämpfer nach Anlage 1 Abschnitt 1 Unterabschnitt 1 Nummer 1.3 bis 1.3.3 des Waffengesetzes,</w:t>
      </w:r>
    </w:p>
    <w:p>
      <w:pPr>
        <w:ind w:left="420"/>
      </w:pPr>
      <w:r>
        <w:t xml:space="preserve">2. Vorrichtungen nach Anlage 2 Abschnitt 1 Nummer 1.2.4.1 des Waffengesetzes, die das Ziel beleuchten oder markieren, und</w:t>
      </w:r>
    </w:p>
    <w:p>
      <w:pPr>
        <w:ind w:left="420"/>
      </w:pPr>
      <w:r>
        <w:t xml:space="preserve">3. Nachtsichtgeräte, -vorsätze und -aufsätze sowie Nachtzielgeräte nach Anlage 2 Abschnitt 1 Nummer 1.2.4.2 des Waffengesetzes.</w:t>
      </w:r>
    </w:p>
    <w:p>
      <w:r>
        <w:t xml:space="preserve">Satz 1 Nummer 1 gilt nur, sofern die zusammen aufbewahrten wesentlichen Teile nicht zu einer schussfähigen Waffe zusammengefügt werden können.</w:t>
      </w:r>
    </w:p>
    <w:p>
      <w:r>
        <w:t xml:space="preserve">(4) In einem nicht dauernd bewohnten Gebäude dürfen nur bis zu drei Langwaffen, zu deren Erwerb und Besitz es einer Erlaubnis bedarf, aufbewahrt werden. Die Aufbewahrung darf nur in einem mindestens der Norm DIN/EN 1143-1 Widerstandsgrad I entsprechenden Sicherheitsbehältnis erfolgen. Die zuständige Behörde kann Abweichungen in Bezug auf die Art oder Anzahl der aufbewahrten Waffen oder das Sicherheitsbehältnis auf Antrag zulassen.</w:t>
      </w:r>
    </w:p>
    <w:p>
      <w:r>
        <w:t xml:space="preserve">(5) Die zuständige Behörde kann auf Antrag bei einer Waffen- oder Munitionssammlung unter Berücksichtigung der Art und der Anzahl der Waffen oder der Munition und ihrer Gefährlichkeit für die öffentliche Sicherheit und Ordnung von den Vorgaben der Absätze 1, 2 und 4 insbesondere unter dem Gesichtspunkt der Sichtbarkeit zu Ausstellungszwecken abweichen und dabei geringere oder höhere Anforderungen an die Aufbewahrung stellen; bei Sammlungen von Waffen, deren Modell vor dem 1. Januar 1871 entwickelt worden ist, und bei Munitionssammlungen soll sie geringere Anforderungen stellen. Dem Antrag ist ein Aufbewahrungskonzept beizugeben.</w:t>
      </w:r>
    </w:p>
    <w:p>
      <w:r>
        <w:t xml:space="preserve">(6) Die zuständige Behörde kann auf Antrag von Anforderungen an Sicherheitsbehältnisse, Waffenräume oder alternative Sicherungseinrichtungen nach den Absätzen 1 und 2 absehen, wenn ihre Einhaltung unter Berücksichtigung der Art und der Anzahl der Waffen und der Munition und ihrer Gefährlichkeit für die öffentliche Sicherheit und Ordnung eine besondere Härte darstellen würde. In diesem Fall hat sie die niedrigeren Anforderungen festzusetzen.</w:t>
      </w:r>
    </w:p>
    <w:p>
      <w:r>
        <w:t xml:space="preserve">(7) Bestehen begründete Zweifel, dass Normen anderer EWR-Mitgliedstaaten im Schutzniveau den in den Absätzen 1 und 2 genannten Normen gleichwertig sind, kann die Behörde vom Verpflichteten die Vorlage einer Stellungnahme insbesondere des Deutschen Instituts für Normung verlangen.</w:t>
      </w:r>
    </w:p>
    <w:p>
      <w:r>
        <w:t xml:space="preserve">(8) Die gemeinschaftliche Aufbewahrung von Waffen oder Munition durch berechtigte Personen, die in einer häuslichen Gemeinschaft leben, ist zulässig.</w:t>
      </w:r>
    </w:p>
    <w:p>
      <w:r>
        <w:t xml:space="preserve">(9) Bei der vorübergehenden Aufbewahrung von Waffen im Sinne des Absatzes 1 Satz 1 oder des Absatzes 2 oder von Munition außerhalb der Wohnung, insbesondere im Zusammenhang mit der Jagd oder dem sportlichen Schießen, hat der Verpflichtete die Waffen oder Munition unter angemessener Aufsicht aufzubewahren oder durch sonstige erforderliche Vorkehrungen gegen Abhandenkommen oder unbefugte Ansichnahme zu sichern, wenn die Aufbewahrung gemäß den Anforderungen des Absatzes 1 und 2 nicht möglich ist.</w:t>
      </w:r>
    </w:p>
    <w:p>
      <w:r>
        <w:t xml:space="preserve">(10) Die Konformitätsbewertung von Sicherheitsbehältnissen und Sicherungseinrichtungen nach den Absätzen 1 und 2 erfolgt durch akkreditierte Stellen. Akkreditierte Stellen sind Stellen, die</w:t>
      </w:r>
    </w:p>
    <w:p>
      <w:pPr>
        <w:ind w:left="420"/>
      </w:pPr>
      <w:r>
        <w:t xml:space="preserve">1. Konformitätsbewertungen auf dem Gebiet der Zertifizierung von Erzeugnissen des Geldschrank- und Tresorbaus einschließlich Schlössern zum Schutz gegen Einbruchdiebstahl vornehmen und</w:t>
      </w:r>
    </w:p>
    <w:p>
      <w:pPr>
        <w:ind w:left="420"/>
      </w:pPr>
      <w:r>
        <w:t xml:space="preserve">2. hierfür über eine Akkreditierung einer nationalen Akkreditierungsstelle nach Artikel 4 Absatz 1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in der jeweils geltenden Fassung verfügen.</w:t>
      </w:r>
    </w:p>
    <w:p>
      <w:r>
        <w:t xml:space="preserve">Als nationale Akkreditierungsstellen gelten</w:t>
      </w:r>
    </w:p>
    <w:p>
      <w:pPr>
        <w:ind w:left="420"/>
      </w:pPr>
      <w:r>
        <w:t xml:space="preserve">1. Stellen, die nach § 8 des Akkreditierungsstellengesetzes vom 31. Juli 2009 (BGBl. I S. 2625), das zuletzt durch Artikel 4 Absatz 79 des Gesetzes vom 18. Juli 2016 (BGBl. I S. 1666) geändert worden ist, in der jeweils geltenden Fassung beliehen oder errichtet sind, und</w:t>
      </w:r>
    </w:p>
    <w:p>
      <w:pPr>
        <w:ind w:left="420"/>
      </w:pPr>
      <w:r>
        <w:t xml:space="preserve">2. jede andere von einem Mitgliedstaat oder einem Staat des Europäischen Wirtschaftsraums nach Artikel 4 Absatz 1 der Verordnung (EG) Nr. 765/2008 als nationale Akkreditierungsstelle benannte Stelle.</w:t>
      </w:r>
    </w:p>
    <w:p>
      <w:r>
        <w:t xml:space="preserve">2 Zu beziehen bei der Beuth-Verlag GmbH, Berlin, und in der Deutschen Nationalbibliothek archivmäßig gesichert niedergelegt.</w:t>
      </w:r>
    </w:p>
    <w:p>
      <w:r>
        <w:t xml:space="preserve">3 Zu beziehen bei der Beuth-Verlag GmbH, Berlin, und in der Deutschen Nationalbibliothek archivmäßig gesichert niedergelegt.</w:t>
      </w:r>
    </w:p>
    <w:p>
      <w:r>
        <w:t xml:space="preserve">4 Zu beziehen bei der Beuth-Verlag GmbH, Berlin, und in der Deutschen Nationalbibliothek archivmäßig gesichert niedergelegt.</w:t>
      </w:r>
    </w:p>
    <w:p>
      <w:r>
        <w:t xml:space="preserve">5 Zu beziehen bei der Beuth-Verlag GmbH, Berlin, und in der Deutschen Nationalbibliothek archivmäßig gesichert niedergelegt.</w:t>
      </w:r>
    </w:p>
    <w:p>
      <w:r>
        <w:rPr>
          <w:color w:val="555555"/>
          <w:sz w:val="17"/>
        </w:rPr>
        <w:t xml:space="preserve">Zitiervorschlag: § 13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