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AWaffV — Umfang der Sachkunde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der Prüfung nach § 7 Abs. 1 des Waffengesetzes nachzuweisende Sachkunde umfasst ausreichende Kenntnisse</w:t>
      </w:r>
    </w:p>
    <w:p>
      <w:pPr>
        <w:ind w:left="420"/>
      </w:pPr>
      <w:r>
        <w:t xml:space="preserve">1. über die beim Umgang mit Waffen und Munition zu beachtenden Rechtsvorschriften des Waffenrechts, des Beschussrechts sowie der Notwehr und des Notstands,</w:t>
      </w:r>
    </w:p>
    <w:p>
      <w:pPr>
        <w:ind w:left="420"/>
      </w:pPr>
      <w:r>
        <w:t xml:space="preserve">2. auf waffentechnischem Gebiet über Schusswaffen (Langwaffen, Kurzwaffen und Munition) hinsichtlich Funktionsweise, sowie Innen- und Außenballistik, Reichweite und Wirkungsweise des Geschosses, bei verbotenen Gegenständen, die keine Schusswaffen sind, über die Funktions- und Wirkungsweise sowie die Reichweite,</w:t>
      </w:r>
    </w:p>
    <w:p>
      <w:pPr>
        <w:ind w:left="420"/>
      </w:pPr>
      <w:r>
        <w:t xml:space="preserve">3. über die sichere Handhabung von Waffen oder Munition einschließlich ausreichender Fertigkeiten im Schießen mit Schusswaffen.</w:t>
      </w:r>
    </w:p>
    <w:p>
      <w:r>
        <w:t xml:space="preserve">(2) Die nach Absatz 1 nachzuweisenden Kenntnisse über Waffen und Munition brauchen nur für die beantragte Waffen- und Munitionsart und nur für den mit dem Bedürfnis geltend gemachten und den damit im Zusammenhang stehenden Zweck nachgewiesen werden.</w:t>
      </w:r>
    </w:p>
    <w:p>
      <w:r>
        <w:t xml:space="preserve">(3) Wird eine Erlaubnis nach § 26 des Waffengesetzes beantragt, so umfasst die nachzuweisende Sachkunde außer waffentechnischen Kenntnissen auch Werkstoff-, Fertigungs- und Ballistikkenntnisse.</w:t>
      </w:r>
    </w:p>
    <w:p>
      <w:r>
        <w:rPr>
          <w:color w:val="555555"/>
          <w:sz w:val="17"/>
        </w:rPr>
        <w:t xml:space="preserve">Zitiervorschlag: § 1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