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AWZ Ostsee-ROV</w:t>
      </w:r>
    </w:p>
    <w:p>
      <w:r>
        <w:rPr>
          <w:color w:val="555555"/>
          <w:sz w:val="18"/>
        </w:rPr>
        <w:t xml:space="preserve">Verordnung über die Raumordnung in der deutschen ausschließlichen Wirtschaftszone in der Ostsee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Auf Grund des § 18a Absatz 1 des Raumordnungsgesetzes vom 18. August 1997 (BGBl. I S. 2081, 2102), der durch Artikel 10 Nummer 2 des Gesetzes vom 9. Dezember 2006 (BGBl. I S. 2833) geändert worden ist, in Verbindung mit § 29 Absatz 1 des Raumordnungsgesetzes vom 22. Dezember 2008 (BGBl. I S. 2986)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AWZ Ostsee-ROV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https://recht.nulegal.eu/gesetze/AWZ%20Ostsee-ROV/eingangsformel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