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AWZ Nordsee-ROV</w:t>
      </w:r>
    </w:p>
    <w:p>
      <w:r>
        <w:rPr>
          <w:color w:val="555555"/>
          <w:sz w:val="18"/>
        </w:rPr>
        <w:t xml:space="preserve">Verordnung über die Raumordnung in der deutschen ausschließlichen Wirtschaftszone in der Nordsee</w:t>
      </w:r>
    </w:p>
    <w:p>
      <w:r>
        <w:rPr>
          <w:color w:val="555555"/>
          <w:sz w:val="18"/>
        </w:rPr>
        <w:t xml:space="preserve">Historische Fassung: Stand 10.06.2019 bis 01.09.2021. Dies ist nicht die aktuelle Fassung.</w:t>
      </w:r>
    </w:p>
    <w:p>
      <w:r>
        <w:t xml:space="preserve">Auf Grund des § 18a Absatz 1 des Raumordnungsgesetzes vom 18. August 1997 (BGBl. I S. 2081, 2102), der durch Artikel 10 Nummer 2 des Gesetzes vom 9. Dezember 2006 (BGBl. I S. 2833) geändert worden ist, in Verbindung mit § 29 Absatz 1 des Raumordnungsgesetzes vom 22. Dezember 2008 (BGBl. I S. 2986)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AWZ Nordsee-ROV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https://recht.nulegal.eu/gesetze/AWZ%20Nordsee-ROV/eingangsformel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