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AWV 2013 — Ordnungswidrigkeiten – Verstöße gegen Rechtsakte der Europäischen Union</w:t>
      </w:r>
    </w:p>
    <w:p>
      <w:r>
        <w:rPr>
          <w:color w:val="555555"/>
          <w:sz w:val="18"/>
        </w:rPr>
        <w:t xml:space="preserve">Außenwirtschaftsverordnung</w:t>
      </w:r>
    </w:p>
    <w:p>
      <w:r>
        <w:rPr>
          <w:color w:val="555555"/>
          <w:sz w:val="18"/>
        </w:rPr>
        <w:t xml:space="preserve">Stand: 06.02.2026 (konsolidierte Textfassung, kein amtliches Inkrafttretensdatum)</w:t>
      </w:r>
    </w:p>
    <w:p>
      <w:r>
        <w:t xml:space="preserve">(1) Ordnungswidrig im Sinne des § 19 Absatz 4 Satz 1 Nummer 1 des Außenwirtschaftsgesetzes handelt, wer vorsätzlich oder fahrlässig entgegen</w:t>
      </w:r>
    </w:p>
    <w:p>
      <w:pPr>
        <w:ind w:left="420"/>
      </w:pPr>
      <w:r>
        <w:t xml:space="preserve">1. Artikel 2 Absatz 1 der Verordnung (EWG) Nr. 3541/92 in der Fassung vom 7. Dezember 1992,</w:t>
      </w:r>
    </w:p>
    <w:p>
      <w:pPr>
        <w:ind w:left="420"/>
      </w:pPr>
      <w:r>
        <w:t xml:space="preserve">2. Artikel 2 Absatz 1 der Verordnung (EG) Nr. 3275/93 in der Fassung vom 29. November 1993,</w:t>
      </w:r>
    </w:p>
    <w:p>
      <w:pPr>
        <w:ind w:left="420"/>
      </w:pPr>
      <w:r>
        <w:t xml:space="preserve">3. Artikel 2 Absatz 1 der Verordnung (EG) Nr. 1264/94 in der Fassung vom 30. Mai 1994,</w:t>
      </w:r>
    </w:p>
    <w:p>
      <w:pPr>
        <w:ind w:left="420"/>
      </w:pPr>
      <w:r>
        <w:t xml:space="preserve">4. Artikel 2 Absatz 1 der Verordnung (EG) Nr. 1733/94 in der Fassung vom 11. Juli 1994,</w:t>
      </w:r>
    </w:p>
    <w:p>
      <w:pPr>
        <w:ind w:left="420"/>
      </w:pPr>
      <w:r>
        <w:t xml:space="preserve">5. Artikel 7a Absatz 1 der Verordnung (EG) Nr. 1183/2005 in der Fassung vom 17. März 2025,</w:t>
      </w:r>
    </w:p>
    <w:p>
      <w:pPr>
        <w:ind w:left="420"/>
      </w:pPr>
      <w:r>
        <w:t xml:space="preserve">6. Artikel 8d Absatz 1 der Verordnung (EG) Nr. 765/2006 in der Fassung vom 18. Juli 2025,</w:t>
      </w:r>
    </w:p>
    <w:p>
      <w:pPr>
        <w:ind w:left="420"/>
      </w:pPr>
      <w:r>
        <w:t xml:space="preserve">7. Artikel 27 Absatz 1 der Verordnung (EU) Nr. 36/2012 in der Fassung vom 27. Mai 2025,</w:t>
      </w:r>
    </w:p>
    <w:p>
      <w:pPr>
        <w:ind w:left="420"/>
      </w:pPr>
      <w:r>
        <w:t xml:space="preserve">8. Artikel 38 Absatz 1 der Verordnung (EU) Nr. 267/2012 in der Fassung vom 10. September 2024,</w:t>
      </w:r>
    </w:p>
    <w:p>
      <w:pPr>
        <w:ind w:left="420"/>
      </w:pPr>
      <w:r>
        <w:t xml:space="preserve">9. Artikel 4h Absatz 1 der Verordnung (EU) Nr. 401/2013 in der Fassung vom 25. April 2025,</w:t>
      </w:r>
    </w:p>
    <w:p>
      <w:pPr>
        <w:ind w:left="420"/>
      </w:pPr>
      <w:r>
        <w:t xml:space="preserve">10. Artikel 14 Absatz 1 der Verordnung (EU) Nr. 224/2014 in der Fassung vom 24. März 2025,</w:t>
      </w:r>
    </w:p>
    <w:p>
      <w:pPr>
        <w:ind w:left="420"/>
      </w:pPr>
      <w:r>
        <w:t xml:space="preserve">11. Artikel 6 Absatz 1 der Verordnung (EU) Nr. 692/2014 in der Fassung vom 24. Februar 2025,</w:t>
      </w:r>
    </w:p>
    <w:p>
      <w:pPr>
        <w:ind w:left="420"/>
      </w:pPr>
      <w:r>
        <w:t xml:space="preserve">12. Artikel 12 Absatz 1 der Verordnung (EU) Nr. 747/2014 in der Fassung vom 9. Dezember 2024,</w:t>
      </w:r>
    </w:p>
    <w:p>
      <w:pPr>
        <w:ind w:left="420"/>
      </w:pPr>
      <w:r>
        <w:t xml:space="preserve">13. Artikel 11 Absatz 1 der Verordnung (EU) Nr. 833/2014 in der Fassung vom 18. Juli 2025,</w:t>
      </w:r>
    </w:p>
    <w:p>
      <w:pPr>
        <w:ind w:left="420"/>
      </w:pPr>
      <w:r>
        <w:t xml:space="preserve">14. Artikel 12 Absatz 1 der Verordnung (EU) Nr. 1352/2014 in der Fassung vom 10. September 2024,</w:t>
      </w:r>
    </w:p>
    <w:p>
      <w:pPr>
        <w:ind w:left="420"/>
      </w:pPr>
      <w:r>
        <w:t xml:space="preserve">15. Artikel 17 Absatz 1 der Verordnung (EU) 2015/735 in der Fassung vom 8. Juli 2025,</w:t>
      </w:r>
    </w:p>
    <w:p>
      <w:pPr>
        <w:ind w:left="420"/>
      </w:pPr>
      <w:r>
        <w:t xml:space="preserve">16. Artikel 53 Absatz 1 der Verordnung (EU) 2017/1509 in der Fassung vom 16. Dezember 2024,</w:t>
      </w:r>
    </w:p>
    <w:p>
      <w:pPr>
        <w:ind w:left="420"/>
      </w:pPr>
      <w:r>
        <w:t xml:space="preserve">17. Artikel 15 Absatz 1 der Verordnung (EU) 2017/2063 in der Fassung vom 9. Januar 2025,</w:t>
      </w:r>
    </w:p>
    <w:p>
      <w:pPr>
        <w:ind w:left="420"/>
      </w:pPr>
      <w:r>
        <w:t xml:space="preserve">18. Artikel 10 Absatz 1 der Verordnung (EU) 2022/263 in der Fassung vom 24. Februar 2025,</w:t>
      </w:r>
    </w:p>
    <w:p>
      <w:pPr>
        <w:ind w:left="420"/>
      </w:pPr>
      <w:r>
        <w:t xml:space="preserve">19. Artikel 13 Absatz 1 der Verordnung (EU) 2022/2309 in der Fassung vom 15. Juli 2025 oder</w:t>
      </w:r>
    </w:p>
    <w:p>
      <w:pPr>
        <w:ind w:left="420"/>
      </w:pPr>
      <w:r>
        <w:t xml:space="preserve">20. Artikel 11 Absatz 1 der Verordnung (EU) 2023/1529 in der Fassung vom 25. Juli 2025</w:t>
      </w:r>
    </w:p>
    <w:p>
      <w:r>
        <w:t xml:space="preserve">einen dort genannten Anspruch erfüllt oder einer dort genannten Forderung oder einem dort genannten Anspruch stattgibt. Soweit die in Satz 1 Nummer 8 genannte Vorschrift auf die Anhänge VIII, IX, XIII und XIV der Verordnung (EU) Nr. 267/2012 verweist, finden diese Anhänge in der jeweils geltenden Fassung Anwendung.</w:t>
      </w:r>
    </w:p>
    <w:p>
      <w:r>
        <w:t xml:space="preserve">(2) Ordnungswidrig im Sinne des § 19 Absatz 4 Satz 1 Nummer 1 des Außenwirtschaftsgesetzes handelt, wer vorsätzlich oder fahrlässig entgegen Artikel 5 Absatz 1 der Verordnung (EG) Nr. 2271/96 in der Fassung vom 6. Juni 2018 einer dort genannten Forderung oder einem dort genannten Verbot nachkommt. Soweit die in Satz 1 genannten Vorschriften auf den Anhang der Verordnung (EG) Nr. 2271/96 verweisen, findet dieser Anhang in der jeweils geltenden Fassung Anwendung.</w:t>
      </w:r>
    </w:p>
    <w:p>
      <w:r>
        <w:t xml:space="preserve">(3) Ordnungswidrig im Sinne des § 19 Absatz 4 Satz 1 Nummer 2 des Außenwirtschaftsgesetzes handelt, wer vorsätzlich oder fahrlässig entgegen Artikel 4 Absatz 1 der Verordnung (EG) Nr. 2368/2022 in der Fassung vom 23. Mai 2025 ein Behältnis oder ein dazu gehöriges Zertifikat nicht oder nicht rechtzeitig einer Gemeinschaftsbehörde zur Prüfung vorlegt.</w:t>
      </w:r>
    </w:p>
    <w:p>
      <w:r>
        <w:t xml:space="preserve">(4) Ordnungswidrig im Sinne des § 19 Absatz 4 Satz 1 Nummer 2 des Außenwirtschaftsgesetzes handelt, wer vorsätzlich oder fahrlässig entgegen Artikel 267 Absatz 2 der Verordnung (EU) Nr. 952/2013 in der Fassung vom 23. November 2022 eine Ware nicht oder nicht rechtzeitig gestellt.</w:t>
      </w:r>
    </w:p>
    <w:p>
      <w:r>
        <w:t xml:space="preserve">(5) Ordnungswidrig im Sinne des § 19 Absatz 4 Satz 1 Nummer 1 des Außenwirtschaftsgesetzes handelt, wer gegen die Verordnung (EU) Nr. 833/2014 in der Fassung vom 18. Juli 2025 verstößt, indem er vorsätzlich oder fahrlässig</w:t>
      </w:r>
    </w:p>
    <w:p>
      <w:pPr>
        <w:ind w:left="420"/>
      </w:pPr>
      <w:r>
        <w:t xml:space="preserve">1. entgegen Artikel 5a Absatz 8 Buchstabe a oder b nach dem 22. Juli 2024 einen dort genannten Barbestand oder eine dort genannte Einnahme nicht richtig verbucht,</w:t>
      </w:r>
    </w:p>
    <w:p>
      <w:pPr>
        <w:ind w:left="420"/>
      </w:pPr>
      <w:r>
        <w:t xml:space="preserve">2. entgegen Artikel 5a Absatz 8 Buchstabe c Satzteil vor Satz 2 nach dem 22. Juli 2024 einen dort genannten Nettogewinn veräußert,</w:t>
      </w:r>
    </w:p>
    <w:p>
      <w:pPr>
        <w:ind w:left="420"/>
      </w:pPr>
      <w:r>
        <w:t xml:space="preserve">3. entgegen Artikel 5aa Absatz 1a oder 1b Unterabsatz 1 einen dort genannten Posten bekleidet,</w:t>
      </w:r>
    </w:p>
    <w:p>
      <w:pPr>
        <w:ind w:left="420"/>
      </w:pPr>
      <w:r>
        <w:t xml:space="preserve">4. entgegen Artikel 5ac Absatz 1 sich nach dem 1. November 2025 mit einem dort genannten System oder Nachrichtenübermittlungsdienst verbindet,</w:t>
      </w:r>
    </w:p>
    <w:p>
      <w:pPr>
        <w:ind w:left="420"/>
      </w:pPr>
      <w:r>
        <w:t xml:space="preserve">5. entgegen Artikel 5b Absatz 2a nach dem 22. Juli 2024 ein dort genanntes Eigentum, eine dort genannte Kontrolle oder die Bekleidung eines dort genannten Postens gestattet oder</w:t>
      </w:r>
    </w:p>
    <w:p>
      <w:pPr>
        <w:ind w:left="420"/>
      </w:pPr>
      <w:r>
        <w:t xml:space="preserve">6. entgegen Artikel 5o Absatz 1 einer dort genannten Person ermöglicht, einen dort genannten Posten zu bekleiden.</w:t>
      </w:r>
    </w:p>
    <w:p>
      <w:r>
        <w:t xml:space="preserve">(6) Ordnungswidrig im Sinne des § 19 Absatz 4 Satz 1 Nummer 2 des Außenwirtschaftsgesetzes handelt, wer vorsätzlich oder fahrlässig ohne Genehmigung nach Artikel 3 Absatz 2 Satz 1 der Verordnung (EU) 2015/936 in der Fassung vom 29. November 2017 eine dort genannte Einfuhr in den freien Verkehr der Union überführt.</w:t>
      </w:r>
    </w:p>
    <w:p>
      <w:r>
        <w:t xml:space="preserve">(7) Ordnungswidrig im Sinne des § 19 Absatz 4 Satz 1 Nummer 2 des Außenwirtschaftsgesetzes handelt, wer gegen die Durchführungsverordnung (EU) 2015/2447 in der Fassung vom 28. April 2025 verstößt, indem er vorsätzlich oder fahrlässig</w:t>
      </w:r>
    </w:p>
    <w:p>
      <w:pPr>
        <w:ind w:left="420"/>
      </w:pPr>
      <w:r>
        <w:t xml:space="preserve">1. als Inhaber einer Zulassung oder Bewilligung nach Artikel 166 der Verordnung (EU) Nr. 952/2013 in der Fassung vom 23. November 2022 im Ausfuhrverfahren entgegen Artikel 224 eine in der Zulassung oder Bewilligung genannte Unterlage oder eine Unterlage, die für die Erfüllung einer in Artikel 267 Absatz 3 Buchstabe a, b oder Buchstabe c der Verordnung (EU) Nr. 952/2013 in der Fassung vom 23. November 2022 genannten Pflicht erforderlich sind, nicht, nicht richtig, nicht vollständig oder nicht rechtzeitig bereithält,</w:t>
      </w:r>
    </w:p>
    <w:p>
      <w:pPr>
        <w:ind w:left="420"/>
      </w:pPr>
      <w:r>
        <w:t xml:space="preserve">2. im Ausfuhrverfahren einer mit einer Bewilligung nach Artikel 234 Absatz 1 Buchstabe b, c, e oder Buchstabe g verbundenen vollziehbaren Auflage zuwiderhandelt,</w:t>
      </w:r>
    </w:p>
    <w:p>
      <w:pPr>
        <w:ind w:left="420"/>
      </w:pPr>
      <w:r>
        <w:t xml:space="preserve">3. entgegen Artikel 331 Absatz 1 Buchstabe a oder Buchstabe b eine Angabe nicht, nicht richtig, nicht vollständig oder nicht rechtzeitig macht,</w:t>
      </w:r>
    </w:p>
    <w:p>
      <w:pPr>
        <w:ind w:left="420"/>
      </w:pPr>
      <w:r>
        <w:t xml:space="preserve">4. entgegen Artikel 340 Absatz 1 die Ausfuhrzollstelle nicht, nicht richtig oder nicht rechtzeitig in Kenntnis setzt,</w:t>
      </w:r>
    </w:p>
    <w:p>
      <w:pPr>
        <w:ind w:left="420"/>
      </w:pPr>
      <w:r>
        <w:t xml:space="preserve">5. entgegen Artikel 340 Absatz 2 die Ausgangszollstelle nicht, nicht richtig oder nicht unverzüglich nach dem Entfernen der Ware von der Ausgangszollstelle informiert oder</w:t>
      </w:r>
    </w:p>
    <w:p>
      <w:pPr>
        <w:ind w:left="420"/>
      </w:pPr>
      <w:r>
        <w:t xml:space="preserve">6. ohne Zustimmung nach Artikel 340 Absatz 3 den geänderten Beförderungsvertrag erfüllt.</w:t>
      </w:r>
    </w:p>
    <w:p>
      <w:r>
        <w:t xml:space="preserve">(8) Ordnungswidrig im Sinne des § 19 Absatz 4 Satz 1 Nummer 1 des Außenwirtschaftsgesetzes handelt, wer gegen die Verordnung (EU) 2021/821 in der Fassung vom 5. September 2024 verstößt, indem er vorsätzlich oder fahrlässig</w:t>
      </w:r>
    </w:p>
    <w:p>
      <w:pPr>
        <w:ind w:left="420"/>
      </w:pPr>
      <w:r>
        <w:t xml:space="preserve">1. einer vollziehbaren Anordnung nach Artikel 7 Absatz 1 oder 2 Satz 1 zuwiderhandelt oder</w:t>
      </w:r>
    </w:p>
    <w:p>
      <w:pPr>
        <w:ind w:left="420"/>
      </w:pPr>
      <w:r>
        <w:t xml:space="preserve">2. ohne Genehmigung nach Artikel 11 Absatz 1 Satz 1 dort genannte Güter verbringt.</w:t>
      </w:r>
    </w:p>
    <w:p>
      <w:r>
        <w:t xml:space="preserve">Soweit die in Satz 1 genannten Vorschriften auf Anhang I oder Anhang IV der Verordnung (EU) 2021/821 verweisen, finden diese Anhänge in der jeweils geltenden Fassung Anwendung.</w:t>
      </w:r>
    </w:p>
    <w:p>
      <w:r>
        <w:rPr>
          <w:color w:val="555555"/>
          <w:sz w:val="17"/>
        </w:rPr>
        <w:t xml:space="preserve">Zitiervorschlag: § 82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