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AWV 2013 — Straftaten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Nach § 17 Absatz 1, Absatz 2 bis 5 des Außenwirtschaftsgesetzes wird bestraft, wer vorsätzlich oder leichtfertig</w:t>
      </w:r>
    </w:p>
    <w:p>
      <w:pPr>
        <w:ind w:left="420"/>
      </w:pPr>
      <w:r>
        <w:t xml:space="preserve">1. entgegen § 74, auch in Verbindung mit § 79, dort genannte Güter verkauft, ausführt, durchführt oder befördert,</w:t>
      </w:r>
    </w:p>
    <w:p>
      <w:pPr>
        <w:ind w:left="420"/>
      </w:pPr>
      <w:r>
        <w:t xml:space="preserve">2. entgegen § 75 Absatz 1, auch in Verbindung mit § 75 Absatz 2, jeweils auch in Verbindung mit § 79, ein Handels- oder Vermittlungsgeschäft vornimmt oder</w:t>
      </w:r>
    </w:p>
    <w:p>
      <w:pPr>
        <w:ind w:left="420"/>
      </w:pPr>
      <w:r>
        <w:t xml:space="preserve">3. entgegen § 77 Absatz 1, auch in Verbindung mit § 77 Absatz 2, jeweils auch in Verbindung mit § 79, dort genannte Güter einführt, erwirbt oder befördert.</w:t>
      </w:r>
    </w:p>
    <w:p>
      <w:r>
        <w:t xml:space="preserve">(2) Nach § 18 Absatz 1b Nummer 3 des Außenwirtschaftsgesetzes wird bestraft, wer</w:t>
      </w:r>
    </w:p>
    <w:p>
      <w:pPr>
        <w:ind w:left="420"/>
      </w:pPr>
      <w:r>
        <w:t xml:space="preserve">1. entgegen § 59a Absatz 2 Satz 1 ein Stimmrecht ausübt oder</w:t>
      </w:r>
    </w:p>
    <w:p>
      <w:pPr>
        <w:ind w:left="420"/>
      </w:pPr>
      <w:r>
        <w:t xml:space="preserve">2. entgegen § 59a Absatz 3 eine dort genannte Information überlässt oder anderweitig offenlegt.</w:t>
      </w:r>
    </w:p>
    <w:p>
      <w:r>
        <w:rPr>
          <w:color w:val="555555"/>
          <w:sz w:val="17"/>
        </w:rPr>
        <w:t xml:space="preserve">Zitiervorschlag: § 80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