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AWV 2013 — Genehmigungserfordernisse für die Ausfuhr von Gütern des Teils I der Ausfuhrliste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Ausfuhr der folgenden Güter bedarf der Genehmigung:</w:t>
      </w:r>
    </w:p>
    <w:p>
      <w:pPr>
        <w:ind w:left="420"/>
      </w:pPr>
      <w:r>
        <w:t xml:space="preserve">1. der in Teil I Abschnitt A der Ausfuhrliste genannten Güter und</w:t>
      </w:r>
    </w:p>
    <w:p>
      <w:pPr>
        <w:ind w:left="420"/>
      </w:pPr>
      <w:r>
        <w:t xml:space="preserve">2. der in Teil I Abschnitt B der Ausfuhrliste genannten Güter.</w:t>
      </w:r>
    </w:p>
    <w:p>
      <w:r>
        <w:t xml:space="preserve">(2) Eine Genehmigung nach Absatz 1 Nummer 1 ist nicht erforderlich für die Ausfuhr der folgenden Güter in die Schweiz, nach Liechtenstein, Norwegen und Island:</w:t>
      </w:r>
    </w:p>
    <w:p>
      <w:pPr>
        <w:ind w:left="420"/>
      </w:pPr>
      <w:r>
        <w:t xml:space="preserve">1. Feuerwaffen im Sinne des § 1 Absatz 4 des Waffengesetzes in Verbindung mit Abschnitt 1 Unterabschnitt 1 Nummer 2 und Abschnitt 3 der Anlage 1 zum Waffengesetz, soweit das Waffengesetz und die auf Grund des Waffengesetzes erlassenen waffenrechtlichen Verordnungen für diese gelten, einschließlich unwesentlicher Teile und Zubehör,</w:t>
      </w:r>
    </w:p>
    <w:p>
      <w:pPr>
        <w:ind w:left="420"/>
      </w:pPr>
      <w:r>
        <w:t xml:space="preserve">2. Munition im Sinne des § 1 Absatz 4 des Waffengesetzes in Verbindung mit Abschnitt 1 Unterabschnitt 3 Nummer 1 und 2 der Anlage 1 zum Waffengesetz, soweit sie für Feuerwaffen im Sinne von Nummer 1 bestimmt ist, einschließlich Munitionsteile, und</w:t>
      </w:r>
    </w:p>
    <w:p>
      <w:pPr>
        <w:ind w:left="420"/>
      </w:pPr>
      <w:r>
        <w:t xml:space="preserve">3. Wiederladegeräte, soweit sie für die Munition im Sinne der Nummer 2 bestimmt sind.</w:t>
      </w:r>
    </w:p>
    <w:p>
      <w:r>
        <w:t xml:space="preserve">Satz 1 gilt nicht, wenn dem Ausführer bekannt ist, dass das endgültige Bestimmungsziel der Güter außerhalb der in Satz 1 genannten Staaten und außerhalb des Zollgebiets der Europäischen Union liegt.</w:t>
      </w:r>
    </w:p>
    <w:p>
      <w:r>
        <w:t xml:space="preserve">(3) Eine Genehmigung nach Absatz 1 Nummer 2 ist nicht erforderlich, wenn nach dem der Ausfuhr zugrunde liegenden Vertrag derartige Güter im Wert von nicht mehr als 5 000 Euro geliefert werden sollen. Die Ausfuhr von Software und Technologie ist abweichend von Satz 1 stets genehmigungspflichtig.</w:t>
      </w:r>
    </w:p>
    <w:p>
      <w:r>
        <w:rPr>
          <w:color w:val="555555"/>
          <w:sz w:val="17"/>
        </w:rPr>
        <w:t xml:space="preserve">Zitiervorschlag: § 8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