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 AWV 2013 — Genehmigungserfordernisse für die Ausfuhr bestimmter Ausrüstung</w:t>
      </w:r>
    </w:p>
    <w:p>
      <w:r>
        <w:rPr>
          <w:color w:val="555555"/>
          <w:sz w:val="18"/>
        </w:rPr>
        <w:t xml:space="preserve">Außenwirtschaftsverordnung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Ausfuhr von Ausrüstung für die Herstellung von Banknoten, Wertzeichen, Banknoten- oder Wertzeichenspezialpapieren bedarf der Genehmigung, wenn das Bestimmungsland die Demokratische Volksrepublik Korea ist.</w:t>
      </w:r>
    </w:p>
    <w:p>
      <w:r>
        <w:rPr>
          <w:color w:val="555555"/>
          <w:sz w:val="17"/>
        </w:rPr>
        <w:t xml:space="preserve">Zitiervorschlag: § 78 AWV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https://recht.nulegal.eu/gesetze/AWV%202013/78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