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AWV 2013 — Ausnahmen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Deutsche Bundesbank kann</w:t>
      </w:r>
    </w:p>
    <w:p>
      <w:pPr>
        <w:ind w:left="420"/>
      </w:pPr>
      <w:r>
        <w:t xml:space="preserve">1. für einzelne Meldepflichtige oder für Gruppen von Meldepflichtigen vereinfachte Meldungen oder Abweichungen von Meldefristen oder Verfahren zulassen oder</w:t>
      </w:r>
    </w:p>
    <w:p>
      <w:pPr>
        <w:ind w:left="420"/>
      </w:pPr>
      <w:r>
        <w:t xml:space="preserve">2. einzelne Meldepflichtige oder Gruppen von Meldepflichtigen befristet oder widerruflich von einer Meldepflicht freistellen,</w:t>
      </w:r>
    </w:p>
    <w:p>
      <w:r>
        <w:t xml:space="preserve">soweit dafür besondere Gründe vorliegen oder der Zweck der Meldevorschriften nicht beeinträchtigt wird.</w:t>
      </w:r>
    </w:p>
    <w:p>
      <w:r>
        <w:rPr>
          <w:color w:val="555555"/>
          <w:sz w:val="17"/>
        </w:rPr>
        <w:t xml:space="preserve">Zitiervorschlag: § 73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